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6631" w14:textId="77777777" w:rsidR="00E1709D" w:rsidRDefault="00E1709D" w:rsidP="00E1709D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bookmarkStart w:id="0" w:name="_Toc518055353"/>
      <w:bookmarkStart w:id="1" w:name="_Toc522786935"/>
      <w:r>
        <w:rPr>
          <w:rFonts w:ascii="宋体" w:hAnsi="宋体" w:hint="eastAsia"/>
          <w:color w:val="000000"/>
          <w:sz w:val="24"/>
          <w:szCs w:val="24"/>
        </w:rPr>
        <w:t>学校高度重视师资队伍的规划和建设。通过不断加强教师思想政治工作，提高教师职业道德水平，深化人事制度改革，加大高层次人才引进与培养力度，加强中青年骨干教师培养，逐步形成了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支以院士、国家“千人计划”和“万人计划”入选者为领军，以学科带头人为核心，以中青年骨干教师为基础的师德优良、爱岗敬业、规模适中、结构合理、开拓创新的高素质专业化教师队伍，为学校“一流本科”建设提供了有力的保障。</w:t>
      </w:r>
    </w:p>
    <w:p w14:paraId="3CDF4C61" w14:textId="77777777" w:rsidR="00352826" w:rsidRDefault="00352826" w:rsidP="00352826">
      <w:pPr>
        <w:spacing w:line="360" w:lineRule="auto"/>
        <w:ind w:firstLineChars="200" w:firstLine="482"/>
        <w:outlineLvl w:val="1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教师数量与结构</w:t>
      </w:r>
      <w:bookmarkEnd w:id="0"/>
      <w:bookmarkEnd w:id="1"/>
    </w:p>
    <w:p w14:paraId="5D81F257" w14:textId="77777777" w:rsidR="00352826" w:rsidRDefault="00352826" w:rsidP="00352826">
      <w:pPr>
        <w:spacing w:line="360" w:lineRule="auto"/>
        <w:ind w:firstLineChars="200" w:firstLine="482"/>
        <w:outlineLvl w:val="2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1.</w:t>
      </w:r>
      <w:r>
        <w:rPr>
          <w:rFonts w:hint="eastAsia"/>
          <w:b/>
          <w:color w:val="000000"/>
          <w:sz w:val="24"/>
          <w:szCs w:val="24"/>
        </w:rPr>
        <w:t>师资队伍规模稳定</w:t>
      </w:r>
    </w:p>
    <w:p w14:paraId="5D3AC9EC" w14:textId="77777777" w:rsidR="00352826" w:rsidRDefault="00352826" w:rsidP="00352826">
      <w:pPr>
        <w:autoSpaceDE w:val="0"/>
        <w:autoSpaceDN w:val="0"/>
        <w:adjustRightInd w:val="0"/>
        <w:spacing w:line="360" w:lineRule="auto"/>
        <w:ind w:firstLineChars="200" w:firstLine="480"/>
        <w:rPr>
          <w:rFonts w:hAnsi="宋体"/>
          <w:color w:val="000000"/>
          <w:kern w:val="0"/>
          <w:sz w:val="24"/>
          <w:szCs w:val="24"/>
        </w:rPr>
      </w:pPr>
      <w:r>
        <w:rPr>
          <w:rFonts w:hAnsi="宋体"/>
          <w:color w:val="000000"/>
          <w:kern w:val="0"/>
          <w:sz w:val="24"/>
          <w:szCs w:val="24"/>
        </w:rPr>
        <w:t>学校</w:t>
      </w:r>
      <w:r>
        <w:rPr>
          <w:rFonts w:hAnsi="宋体" w:hint="eastAsia"/>
          <w:color w:val="000000"/>
          <w:kern w:val="0"/>
          <w:sz w:val="24"/>
          <w:szCs w:val="24"/>
        </w:rPr>
        <w:t>现有教职员工</w:t>
      </w:r>
      <w:r>
        <w:rPr>
          <w:rFonts w:hAnsi="宋体"/>
          <w:color w:val="000000"/>
          <w:kern w:val="0"/>
          <w:sz w:val="24"/>
          <w:szCs w:val="24"/>
        </w:rPr>
        <w:t>1</w:t>
      </w:r>
      <w:r w:rsidR="00402657">
        <w:rPr>
          <w:rFonts w:hAnsi="宋体" w:hint="eastAsia"/>
          <w:color w:val="000000"/>
          <w:kern w:val="0"/>
          <w:sz w:val="24"/>
          <w:szCs w:val="24"/>
        </w:rPr>
        <w:t>667</w:t>
      </w:r>
      <w:r>
        <w:rPr>
          <w:rFonts w:hAnsi="宋体" w:hint="eastAsia"/>
          <w:color w:val="000000"/>
          <w:kern w:val="0"/>
          <w:sz w:val="24"/>
          <w:szCs w:val="24"/>
        </w:rPr>
        <w:t>人，其中</w:t>
      </w:r>
      <w:r>
        <w:rPr>
          <w:rFonts w:hAnsi="宋体"/>
          <w:color w:val="000000"/>
          <w:kern w:val="0"/>
          <w:sz w:val="24"/>
          <w:szCs w:val="24"/>
        </w:rPr>
        <w:t>专任教师</w:t>
      </w:r>
      <w:r>
        <w:rPr>
          <w:rFonts w:hint="eastAsia"/>
          <w:color w:val="000000"/>
          <w:kern w:val="0"/>
          <w:sz w:val="24"/>
          <w:szCs w:val="24"/>
        </w:rPr>
        <w:t>1</w:t>
      </w:r>
      <w:r w:rsidR="00402657">
        <w:rPr>
          <w:rFonts w:hint="eastAsia"/>
          <w:color w:val="000000"/>
          <w:kern w:val="0"/>
          <w:sz w:val="24"/>
          <w:szCs w:val="24"/>
        </w:rPr>
        <w:t>124</w:t>
      </w:r>
      <w:r>
        <w:rPr>
          <w:rFonts w:hAnsi="宋体"/>
          <w:color w:val="000000"/>
          <w:kern w:val="0"/>
          <w:sz w:val="24"/>
          <w:szCs w:val="24"/>
        </w:rPr>
        <w:t>人</w:t>
      </w:r>
      <w:r>
        <w:rPr>
          <w:rFonts w:hAnsi="宋体" w:hint="eastAsia"/>
          <w:color w:val="000000"/>
          <w:kern w:val="0"/>
          <w:sz w:val="24"/>
          <w:szCs w:val="24"/>
        </w:rPr>
        <w:t>，占教职工总数的</w:t>
      </w:r>
      <w:r>
        <w:rPr>
          <w:rFonts w:hAnsi="宋体" w:hint="eastAsia"/>
          <w:color w:val="000000"/>
          <w:kern w:val="0"/>
          <w:sz w:val="24"/>
          <w:szCs w:val="24"/>
        </w:rPr>
        <w:t>6</w:t>
      </w:r>
      <w:r w:rsidR="00402657">
        <w:rPr>
          <w:rFonts w:hAnsi="宋体" w:hint="eastAsia"/>
          <w:color w:val="000000"/>
          <w:kern w:val="0"/>
          <w:sz w:val="24"/>
          <w:szCs w:val="24"/>
        </w:rPr>
        <w:t>7.4</w:t>
      </w:r>
      <w:r>
        <w:rPr>
          <w:rFonts w:hAnsi="宋体"/>
          <w:color w:val="000000"/>
          <w:kern w:val="0"/>
          <w:sz w:val="24"/>
          <w:szCs w:val="24"/>
        </w:rPr>
        <w:t>%</w:t>
      </w:r>
      <w:r>
        <w:rPr>
          <w:rFonts w:hAnsi="宋体" w:hint="eastAsia"/>
          <w:color w:val="000000"/>
          <w:kern w:val="0"/>
          <w:sz w:val="24"/>
          <w:szCs w:val="24"/>
        </w:rPr>
        <w:t>。此外，</w:t>
      </w:r>
      <w:r w:rsidRPr="00866E4D">
        <w:rPr>
          <w:rFonts w:hAnsi="宋体" w:hint="eastAsia"/>
          <w:color w:val="000000"/>
          <w:kern w:val="0"/>
          <w:sz w:val="24"/>
          <w:szCs w:val="24"/>
        </w:rPr>
        <w:t>学校聘请校外教师</w:t>
      </w:r>
      <w:r w:rsidR="00402657" w:rsidRPr="00866E4D">
        <w:rPr>
          <w:rFonts w:hAnsi="宋体" w:hint="eastAsia"/>
          <w:color w:val="000000"/>
          <w:kern w:val="0"/>
          <w:sz w:val="24"/>
          <w:szCs w:val="24"/>
        </w:rPr>
        <w:t>9</w:t>
      </w:r>
      <w:r w:rsidRPr="00866E4D">
        <w:rPr>
          <w:rFonts w:hAnsi="宋体" w:hint="eastAsia"/>
          <w:color w:val="000000"/>
          <w:kern w:val="0"/>
          <w:sz w:val="24"/>
          <w:szCs w:val="24"/>
        </w:rPr>
        <w:t>人，其中境外教师</w:t>
      </w:r>
      <w:r w:rsidR="00402657" w:rsidRPr="00866E4D">
        <w:rPr>
          <w:rFonts w:hAnsi="宋体" w:hint="eastAsia"/>
          <w:color w:val="000000"/>
          <w:kern w:val="0"/>
          <w:sz w:val="24"/>
          <w:szCs w:val="24"/>
        </w:rPr>
        <w:t>0</w:t>
      </w:r>
      <w:r w:rsidRPr="00866E4D">
        <w:rPr>
          <w:rFonts w:hAnsi="宋体" w:hint="eastAsia"/>
          <w:color w:val="000000"/>
          <w:kern w:val="0"/>
          <w:sz w:val="24"/>
          <w:szCs w:val="24"/>
        </w:rPr>
        <w:t>人。教师队伍规模可以满足本科教学的总体要求。</w:t>
      </w:r>
    </w:p>
    <w:p w14:paraId="3361462A" w14:textId="77777777" w:rsidR="00352826" w:rsidRDefault="00352826" w:rsidP="00352826">
      <w:pPr>
        <w:autoSpaceDE w:val="0"/>
        <w:autoSpaceDN w:val="0"/>
        <w:adjustRightInd w:val="0"/>
        <w:spacing w:line="360" w:lineRule="auto"/>
        <w:ind w:firstLineChars="200" w:firstLine="482"/>
        <w:outlineLvl w:val="2"/>
        <w:rPr>
          <w:rFonts w:hAnsi="宋体"/>
          <w:color w:val="000000"/>
          <w:kern w:val="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2.</w:t>
      </w:r>
      <w:r>
        <w:rPr>
          <w:rFonts w:hAnsi="宋体" w:hint="eastAsia"/>
          <w:b/>
          <w:color w:val="000000"/>
          <w:kern w:val="0"/>
          <w:sz w:val="24"/>
          <w:szCs w:val="24"/>
        </w:rPr>
        <w:t>师资队伍结构逐步优化</w:t>
      </w:r>
    </w:p>
    <w:p w14:paraId="35CD9485" w14:textId="611BA7E5" w:rsidR="00352826" w:rsidRDefault="00352826" w:rsidP="00352826">
      <w:pPr>
        <w:autoSpaceDE w:val="0"/>
        <w:autoSpaceDN w:val="0"/>
        <w:adjustRightInd w:val="0"/>
        <w:spacing w:line="360" w:lineRule="auto"/>
        <w:ind w:firstLineChars="200" w:firstLine="482"/>
        <w:rPr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年龄结构凸显活力</w:t>
      </w:r>
      <w:r>
        <w:rPr>
          <w:rFonts w:hint="eastAsia"/>
          <w:color w:val="000000"/>
          <w:sz w:val="24"/>
          <w:szCs w:val="24"/>
        </w:rPr>
        <w:t>。</w:t>
      </w:r>
      <w:r>
        <w:rPr>
          <w:rFonts w:ascii="宋体" w:hAnsi="宋体" w:cs="仿宋_GB2312" w:hint="eastAsia"/>
          <w:color w:val="000000"/>
          <w:kern w:val="0"/>
          <w:sz w:val="24"/>
          <w:szCs w:val="24"/>
        </w:rPr>
        <w:t>学校注重优秀青年教师的引进和培养，</w:t>
      </w:r>
      <w:r w:rsidR="0053779B">
        <w:rPr>
          <w:color w:val="000000"/>
          <w:kern w:val="0"/>
          <w:sz w:val="24"/>
          <w:szCs w:val="24"/>
        </w:rPr>
        <w:t xml:space="preserve"> </w:t>
      </w:r>
      <w:r>
        <w:rPr>
          <w:color w:val="000000"/>
          <w:kern w:val="0"/>
          <w:sz w:val="24"/>
          <w:szCs w:val="24"/>
        </w:rPr>
        <w:t>45</w:t>
      </w:r>
      <w:r>
        <w:rPr>
          <w:rFonts w:hint="eastAsia"/>
          <w:color w:val="000000"/>
          <w:kern w:val="0"/>
          <w:sz w:val="24"/>
          <w:szCs w:val="24"/>
        </w:rPr>
        <w:t>岁及以下中青年教师</w:t>
      </w:r>
      <w:r>
        <w:rPr>
          <w:rFonts w:hAnsi="宋体" w:hint="eastAsia"/>
          <w:color w:val="000000"/>
          <w:kern w:val="0"/>
          <w:sz w:val="24"/>
          <w:szCs w:val="24"/>
        </w:rPr>
        <w:t>在专任教师中的占比均超过</w:t>
      </w:r>
      <w:r>
        <w:rPr>
          <w:rFonts w:hAnsi="宋体"/>
          <w:color w:val="000000"/>
          <w:kern w:val="0"/>
          <w:sz w:val="24"/>
          <w:szCs w:val="24"/>
        </w:rPr>
        <w:t>60%</w:t>
      </w:r>
      <w:r>
        <w:rPr>
          <w:rFonts w:hAnsi="宋体" w:hint="eastAsia"/>
          <w:color w:val="000000"/>
          <w:kern w:val="0"/>
          <w:sz w:val="24"/>
          <w:szCs w:val="24"/>
        </w:rPr>
        <w:t>，</w:t>
      </w:r>
      <w:r>
        <w:rPr>
          <w:rFonts w:hint="eastAsia"/>
          <w:color w:val="000000"/>
          <w:kern w:val="0"/>
          <w:sz w:val="24"/>
          <w:szCs w:val="24"/>
        </w:rPr>
        <w:t>已成为我校教师队伍的中坚力量。</w:t>
      </w:r>
      <w:r w:rsidR="004B2B07">
        <w:rPr>
          <w:color w:val="000000"/>
          <w:kern w:val="0"/>
          <w:sz w:val="24"/>
          <w:szCs w:val="24"/>
        </w:rPr>
        <w:t>2020-2021</w:t>
      </w:r>
      <w:r>
        <w:rPr>
          <w:rFonts w:hint="eastAsia"/>
          <w:color w:val="000000"/>
          <w:kern w:val="0"/>
          <w:sz w:val="24"/>
          <w:szCs w:val="24"/>
        </w:rPr>
        <w:t>学年中青年教师占</w:t>
      </w:r>
      <w:r>
        <w:rPr>
          <w:color w:val="000000"/>
          <w:kern w:val="0"/>
          <w:sz w:val="24"/>
          <w:szCs w:val="24"/>
        </w:rPr>
        <w:t>6</w:t>
      </w:r>
      <w:r w:rsidR="0053779B">
        <w:rPr>
          <w:rFonts w:hint="eastAsia"/>
          <w:color w:val="000000"/>
          <w:kern w:val="0"/>
          <w:sz w:val="24"/>
          <w:szCs w:val="24"/>
        </w:rPr>
        <w:t>6.8</w:t>
      </w:r>
      <w:r>
        <w:rPr>
          <w:color w:val="000000"/>
          <w:kern w:val="0"/>
          <w:sz w:val="24"/>
          <w:szCs w:val="24"/>
        </w:rPr>
        <w:t>%</w:t>
      </w:r>
      <w:r>
        <w:rPr>
          <w:rFonts w:hint="eastAsia"/>
          <w:color w:val="000000"/>
          <w:kern w:val="0"/>
          <w:sz w:val="24"/>
          <w:szCs w:val="24"/>
        </w:rPr>
        <w:t>。</w:t>
      </w:r>
    </w:p>
    <w:p w14:paraId="2AC7954C" w14:textId="6F467966" w:rsidR="00352826" w:rsidRDefault="007665F3" w:rsidP="00352826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DAC3A95" wp14:editId="2FD56878">
            <wp:extent cx="4572000" cy="26384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5B75C6D" w14:textId="50A53B5A" w:rsidR="00352826" w:rsidRDefault="00352826" w:rsidP="00352826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图</w:t>
      </w:r>
      <w:r w:rsidR="00E41921">
        <w:rPr>
          <w:rFonts w:hint="eastAsia"/>
          <w:b/>
          <w:color w:val="000000"/>
          <w:sz w:val="24"/>
          <w:szCs w:val="24"/>
        </w:rPr>
        <w:t>2-1  2020</w:t>
      </w:r>
      <w:r>
        <w:rPr>
          <w:rFonts w:hint="eastAsia"/>
          <w:b/>
          <w:color w:val="000000"/>
          <w:sz w:val="24"/>
          <w:szCs w:val="24"/>
        </w:rPr>
        <w:t>—</w:t>
      </w:r>
      <w:r w:rsidR="00E41921">
        <w:rPr>
          <w:rFonts w:hint="eastAsia"/>
          <w:b/>
          <w:color w:val="000000"/>
          <w:sz w:val="24"/>
          <w:szCs w:val="24"/>
        </w:rPr>
        <w:t>2021</w:t>
      </w:r>
      <w:r>
        <w:rPr>
          <w:rFonts w:hint="eastAsia"/>
          <w:b/>
          <w:color w:val="000000"/>
          <w:sz w:val="24"/>
          <w:szCs w:val="24"/>
        </w:rPr>
        <w:t>学年我校专任教师年龄结构</w:t>
      </w:r>
    </w:p>
    <w:p w14:paraId="266196F1" w14:textId="77777777" w:rsidR="00352826" w:rsidRDefault="00352826" w:rsidP="00352826">
      <w:pPr>
        <w:spacing w:line="360" w:lineRule="auto"/>
        <w:ind w:firstLineChars="200" w:firstLine="482"/>
        <w:rPr>
          <w:b/>
          <w:color w:val="000000"/>
          <w:kern w:val="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职称结构基本合理</w:t>
      </w:r>
      <w:r>
        <w:rPr>
          <w:rFonts w:hint="eastAsia"/>
          <w:color w:val="000000"/>
          <w:sz w:val="24"/>
          <w:szCs w:val="24"/>
        </w:rPr>
        <w:t>。</w:t>
      </w:r>
      <w:r>
        <w:rPr>
          <w:rFonts w:hAnsi="宋体" w:hint="eastAsia"/>
          <w:color w:val="000000"/>
          <w:kern w:val="0"/>
          <w:sz w:val="24"/>
          <w:szCs w:val="24"/>
        </w:rPr>
        <w:t>学校不断完善教师职务聘任工作，坚持按需设岗、择优聘任的原则，专任教师职称结构基本形成分布合理、衔接有序的梯队。</w:t>
      </w:r>
      <w:r w:rsidR="00402657">
        <w:rPr>
          <w:rFonts w:hAnsi="宋体" w:hint="eastAsia"/>
          <w:color w:val="000000"/>
          <w:kern w:val="0"/>
          <w:sz w:val="24"/>
          <w:szCs w:val="24"/>
        </w:rPr>
        <w:t>2020</w:t>
      </w:r>
      <w:r>
        <w:rPr>
          <w:rFonts w:hAnsi="宋体" w:hint="eastAsia"/>
          <w:color w:val="000000"/>
          <w:kern w:val="0"/>
          <w:sz w:val="24"/>
          <w:szCs w:val="24"/>
        </w:rPr>
        <w:t>—</w:t>
      </w:r>
      <w:r w:rsidR="00402657">
        <w:rPr>
          <w:rFonts w:hAnsi="宋体" w:hint="eastAsia"/>
          <w:color w:val="000000"/>
          <w:kern w:val="0"/>
          <w:sz w:val="24"/>
          <w:szCs w:val="24"/>
        </w:rPr>
        <w:t>2021</w:t>
      </w:r>
      <w:r>
        <w:rPr>
          <w:rFonts w:hAnsi="宋体" w:hint="eastAsia"/>
          <w:color w:val="000000"/>
          <w:kern w:val="0"/>
          <w:sz w:val="24"/>
          <w:szCs w:val="24"/>
        </w:rPr>
        <w:t>学年，正高职称教师占</w:t>
      </w:r>
      <w:r w:rsidR="00402657">
        <w:rPr>
          <w:rFonts w:hAnsi="宋体"/>
          <w:color w:val="000000"/>
          <w:kern w:val="0"/>
          <w:sz w:val="24"/>
          <w:szCs w:val="24"/>
        </w:rPr>
        <w:t>1</w:t>
      </w:r>
      <w:r w:rsidR="00402657">
        <w:rPr>
          <w:rFonts w:hAnsi="宋体" w:hint="eastAsia"/>
          <w:color w:val="000000"/>
          <w:kern w:val="0"/>
          <w:sz w:val="24"/>
          <w:szCs w:val="24"/>
        </w:rPr>
        <w:t>9.5</w:t>
      </w:r>
      <w:r>
        <w:rPr>
          <w:rFonts w:hAnsi="宋体"/>
          <w:color w:val="000000"/>
          <w:kern w:val="0"/>
          <w:sz w:val="24"/>
          <w:szCs w:val="24"/>
        </w:rPr>
        <w:t>%</w:t>
      </w:r>
      <w:r>
        <w:rPr>
          <w:rFonts w:hAnsi="宋体" w:hint="eastAsia"/>
          <w:color w:val="000000"/>
          <w:kern w:val="0"/>
          <w:sz w:val="24"/>
          <w:szCs w:val="24"/>
        </w:rPr>
        <w:t>，副高占</w:t>
      </w:r>
      <w:r>
        <w:rPr>
          <w:rFonts w:hAnsi="宋体"/>
          <w:color w:val="000000"/>
          <w:kern w:val="0"/>
          <w:sz w:val="24"/>
          <w:szCs w:val="24"/>
        </w:rPr>
        <w:t>4</w:t>
      </w:r>
      <w:r w:rsidR="00402657">
        <w:rPr>
          <w:rFonts w:hAnsi="宋体" w:hint="eastAsia"/>
          <w:color w:val="000000"/>
          <w:kern w:val="0"/>
          <w:sz w:val="24"/>
          <w:szCs w:val="24"/>
        </w:rPr>
        <w:t>6.4</w:t>
      </w:r>
      <w:r>
        <w:rPr>
          <w:rFonts w:hAnsi="宋体"/>
          <w:color w:val="000000"/>
          <w:kern w:val="0"/>
          <w:sz w:val="24"/>
          <w:szCs w:val="24"/>
        </w:rPr>
        <w:t>%</w:t>
      </w:r>
      <w:r>
        <w:rPr>
          <w:rFonts w:hAnsi="宋体" w:hint="eastAsia"/>
          <w:color w:val="000000"/>
          <w:kern w:val="0"/>
          <w:sz w:val="24"/>
          <w:szCs w:val="24"/>
        </w:rPr>
        <w:t>，中级占</w:t>
      </w:r>
      <w:r>
        <w:rPr>
          <w:rFonts w:hAnsi="宋体" w:hint="eastAsia"/>
          <w:color w:val="000000"/>
          <w:kern w:val="0"/>
          <w:sz w:val="24"/>
          <w:szCs w:val="24"/>
        </w:rPr>
        <w:t>3</w:t>
      </w:r>
      <w:r w:rsidR="00402657">
        <w:rPr>
          <w:rFonts w:hAnsi="宋体" w:hint="eastAsia"/>
          <w:color w:val="000000"/>
          <w:kern w:val="0"/>
          <w:sz w:val="24"/>
          <w:szCs w:val="24"/>
        </w:rPr>
        <w:t>3.7</w:t>
      </w:r>
      <w:r>
        <w:rPr>
          <w:rFonts w:hAnsi="宋体"/>
          <w:color w:val="000000"/>
          <w:kern w:val="0"/>
          <w:sz w:val="24"/>
          <w:szCs w:val="24"/>
        </w:rPr>
        <w:t>%</w:t>
      </w:r>
      <w:r>
        <w:rPr>
          <w:rFonts w:hAnsi="宋体" w:hint="eastAsia"/>
          <w:color w:val="000000"/>
          <w:kern w:val="0"/>
          <w:sz w:val="24"/>
          <w:szCs w:val="24"/>
        </w:rPr>
        <w:t>。</w:t>
      </w:r>
    </w:p>
    <w:p w14:paraId="08E8711F" w14:textId="2462CF6F" w:rsidR="00352826" w:rsidRDefault="007665F3" w:rsidP="0035282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DBC89B2" wp14:editId="2D1CA9D1">
            <wp:extent cx="4572000" cy="2743200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848765F" w14:textId="7E6E0AAA" w:rsidR="00352826" w:rsidRDefault="00352826" w:rsidP="0035282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kern w:val="0"/>
          <w:sz w:val="24"/>
          <w:szCs w:val="24"/>
        </w:rPr>
      </w:pPr>
      <w:r>
        <w:rPr>
          <w:rFonts w:hint="eastAsia"/>
          <w:b/>
          <w:color w:val="000000"/>
          <w:kern w:val="0"/>
          <w:sz w:val="24"/>
          <w:szCs w:val="24"/>
        </w:rPr>
        <w:t>图</w:t>
      </w:r>
      <w:r>
        <w:rPr>
          <w:b/>
          <w:color w:val="000000"/>
          <w:kern w:val="0"/>
          <w:sz w:val="24"/>
          <w:szCs w:val="24"/>
        </w:rPr>
        <w:t>2-2</w:t>
      </w:r>
      <w:r>
        <w:rPr>
          <w:rFonts w:hint="eastAsia"/>
          <w:b/>
          <w:color w:val="000000"/>
          <w:kern w:val="0"/>
          <w:sz w:val="24"/>
          <w:szCs w:val="24"/>
        </w:rPr>
        <w:t xml:space="preserve"> </w:t>
      </w:r>
      <w:r>
        <w:rPr>
          <w:b/>
          <w:color w:val="000000"/>
          <w:kern w:val="0"/>
          <w:sz w:val="24"/>
          <w:szCs w:val="24"/>
        </w:rPr>
        <w:t xml:space="preserve"> </w:t>
      </w:r>
      <w:r w:rsidR="007665F3">
        <w:rPr>
          <w:rFonts w:hint="eastAsia"/>
          <w:b/>
          <w:color w:val="000000"/>
          <w:sz w:val="24"/>
          <w:szCs w:val="24"/>
        </w:rPr>
        <w:t>2020</w:t>
      </w:r>
      <w:r>
        <w:rPr>
          <w:rFonts w:hint="eastAsia"/>
          <w:b/>
          <w:color w:val="000000"/>
          <w:sz w:val="24"/>
          <w:szCs w:val="24"/>
        </w:rPr>
        <w:t>—</w:t>
      </w:r>
      <w:r w:rsidR="007665F3">
        <w:rPr>
          <w:rFonts w:hint="eastAsia"/>
          <w:b/>
          <w:color w:val="000000"/>
          <w:sz w:val="24"/>
          <w:szCs w:val="24"/>
        </w:rPr>
        <w:t>2021</w:t>
      </w:r>
      <w:r>
        <w:rPr>
          <w:rFonts w:hint="eastAsia"/>
          <w:b/>
          <w:color w:val="000000"/>
          <w:sz w:val="24"/>
          <w:szCs w:val="24"/>
        </w:rPr>
        <w:t>学年</w:t>
      </w:r>
      <w:r>
        <w:rPr>
          <w:rFonts w:hint="eastAsia"/>
          <w:b/>
          <w:color w:val="000000"/>
          <w:kern w:val="0"/>
          <w:sz w:val="24"/>
          <w:szCs w:val="24"/>
        </w:rPr>
        <w:t>我校专任教师</w:t>
      </w:r>
      <w:r>
        <w:rPr>
          <w:rFonts w:hint="eastAsia"/>
          <w:b/>
          <w:color w:val="000000"/>
          <w:sz w:val="24"/>
          <w:szCs w:val="24"/>
        </w:rPr>
        <w:t>职称结构</w:t>
      </w:r>
    </w:p>
    <w:p w14:paraId="6EF1F89E" w14:textId="77777777" w:rsidR="00352826" w:rsidRDefault="00352826" w:rsidP="00352826">
      <w:pPr>
        <w:autoSpaceDE w:val="0"/>
        <w:autoSpaceDN w:val="0"/>
        <w:adjustRightInd w:val="0"/>
        <w:spacing w:line="360" w:lineRule="auto"/>
        <w:ind w:firstLineChars="200" w:firstLine="482"/>
        <w:rPr>
          <w:color w:val="000000"/>
          <w:kern w:val="0"/>
          <w:sz w:val="24"/>
          <w:szCs w:val="24"/>
        </w:rPr>
      </w:pPr>
      <w:r>
        <w:rPr>
          <w:rFonts w:hint="eastAsia"/>
          <w:b/>
          <w:color w:val="000000"/>
          <w:kern w:val="0"/>
          <w:sz w:val="24"/>
          <w:szCs w:val="24"/>
        </w:rPr>
        <w:t>学历层次持续提升</w:t>
      </w:r>
      <w:r>
        <w:rPr>
          <w:rFonts w:hint="eastAsia"/>
          <w:color w:val="000000"/>
          <w:sz w:val="24"/>
          <w:szCs w:val="24"/>
        </w:rPr>
        <w:t>。</w:t>
      </w:r>
      <w:r>
        <w:rPr>
          <w:rFonts w:hint="eastAsia"/>
          <w:color w:val="000000"/>
          <w:kern w:val="0"/>
          <w:sz w:val="24"/>
          <w:szCs w:val="24"/>
        </w:rPr>
        <w:t>近年来，学校持续加大优秀博士的引进力度，同时出台相关政策，鼓励青年教师在职进修。</w:t>
      </w:r>
      <w:r w:rsidR="00402657">
        <w:rPr>
          <w:color w:val="000000"/>
          <w:kern w:val="0"/>
          <w:sz w:val="24"/>
          <w:szCs w:val="24"/>
        </w:rPr>
        <w:t>20</w:t>
      </w:r>
      <w:r w:rsidR="00402657">
        <w:rPr>
          <w:rFonts w:hint="eastAsia"/>
          <w:color w:val="000000"/>
          <w:kern w:val="0"/>
          <w:sz w:val="24"/>
          <w:szCs w:val="24"/>
        </w:rPr>
        <w:t>20</w:t>
      </w:r>
      <w:r>
        <w:rPr>
          <w:rFonts w:hint="eastAsia"/>
          <w:color w:val="000000"/>
          <w:kern w:val="0"/>
          <w:sz w:val="24"/>
          <w:szCs w:val="24"/>
        </w:rPr>
        <w:t>—</w:t>
      </w:r>
      <w:r w:rsidR="00402657">
        <w:rPr>
          <w:color w:val="000000"/>
          <w:kern w:val="0"/>
          <w:sz w:val="24"/>
          <w:szCs w:val="24"/>
        </w:rPr>
        <w:t>20</w:t>
      </w:r>
      <w:r w:rsidR="00402657">
        <w:rPr>
          <w:rFonts w:hint="eastAsia"/>
          <w:color w:val="000000"/>
          <w:kern w:val="0"/>
          <w:sz w:val="24"/>
          <w:szCs w:val="24"/>
        </w:rPr>
        <w:t>21</w:t>
      </w:r>
      <w:r>
        <w:rPr>
          <w:rFonts w:hint="eastAsia"/>
          <w:color w:val="000000"/>
          <w:kern w:val="0"/>
          <w:sz w:val="24"/>
          <w:szCs w:val="24"/>
        </w:rPr>
        <w:t>学年，具有博士学位的专任教师占</w:t>
      </w:r>
      <w:r w:rsidR="00402657">
        <w:rPr>
          <w:rFonts w:hint="eastAsia"/>
          <w:color w:val="000000"/>
          <w:kern w:val="0"/>
          <w:sz w:val="24"/>
          <w:szCs w:val="24"/>
        </w:rPr>
        <w:t>79</w:t>
      </w:r>
      <w:r>
        <w:rPr>
          <w:color w:val="000000"/>
          <w:kern w:val="0"/>
          <w:sz w:val="24"/>
          <w:szCs w:val="24"/>
        </w:rPr>
        <w:t>%</w:t>
      </w:r>
      <w:r>
        <w:rPr>
          <w:rFonts w:hint="eastAsia"/>
          <w:color w:val="000000"/>
          <w:kern w:val="0"/>
          <w:sz w:val="24"/>
          <w:szCs w:val="24"/>
        </w:rPr>
        <w:t>，具有硕士学位及以上的专任教师占</w:t>
      </w:r>
      <w:r>
        <w:rPr>
          <w:color w:val="000000"/>
          <w:kern w:val="0"/>
          <w:sz w:val="24"/>
          <w:szCs w:val="24"/>
        </w:rPr>
        <w:t>9</w:t>
      </w:r>
      <w:r w:rsidR="00402657">
        <w:rPr>
          <w:rFonts w:hint="eastAsia"/>
          <w:color w:val="000000"/>
          <w:kern w:val="0"/>
          <w:sz w:val="24"/>
          <w:szCs w:val="24"/>
        </w:rPr>
        <w:t>5.5</w:t>
      </w:r>
      <w:r>
        <w:rPr>
          <w:color w:val="000000"/>
          <w:kern w:val="0"/>
          <w:sz w:val="24"/>
          <w:szCs w:val="24"/>
        </w:rPr>
        <w:t>%</w:t>
      </w:r>
      <w:r>
        <w:rPr>
          <w:rFonts w:hint="eastAsia"/>
          <w:color w:val="000000"/>
          <w:kern w:val="0"/>
          <w:sz w:val="24"/>
          <w:szCs w:val="24"/>
        </w:rPr>
        <w:t>。</w:t>
      </w:r>
    </w:p>
    <w:p w14:paraId="53DBCAFF" w14:textId="58A7569B" w:rsidR="00352826" w:rsidRDefault="007665F3" w:rsidP="00352826">
      <w:pPr>
        <w:autoSpaceDE w:val="0"/>
        <w:autoSpaceDN w:val="0"/>
        <w:adjustRightInd w:val="0"/>
        <w:spacing w:line="360" w:lineRule="auto"/>
        <w:ind w:firstLineChars="200" w:firstLine="42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6B269AD" wp14:editId="37B536C3">
            <wp:extent cx="4175125" cy="2505075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076D62" w14:textId="7BC05C26" w:rsidR="00352826" w:rsidRDefault="00352826" w:rsidP="00352826">
      <w:pPr>
        <w:autoSpaceDE w:val="0"/>
        <w:autoSpaceDN w:val="0"/>
        <w:adjustRightInd w:val="0"/>
        <w:spacing w:line="360" w:lineRule="auto"/>
        <w:ind w:firstLineChars="200" w:firstLine="482"/>
        <w:jc w:val="center"/>
        <w:rPr>
          <w:rFonts w:ascii="宋体" w:hAnsi="宋体" w:cs="仿宋_GB2312"/>
          <w:color w:val="000000"/>
          <w:kern w:val="0"/>
          <w:sz w:val="24"/>
          <w:szCs w:val="24"/>
        </w:rPr>
      </w:pPr>
      <w:r>
        <w:rPr>
          <w:rFonts w:hint="eastAsia"/>
          <w:b/>
          <w:color w:val="000000"/>
          <w:kern w:val="0"/>
          <w:sz w:val="24"/>
          <w:szCs w:val="24"/>
        </w:rPr>
        <w:t>图</w:t>
      </w:r>
      <w:r>
        <w:rPr>
          <w:b/>
          <w:color w:val="000000"/>
          <w:kern w:val="0"/>
          <w:sz w:val="24"/>
          <w:szCs w:val="24"/>
        </w:rPr>
        <w:t>2-</w:t>
      </w:r>
      <w:r>
        <w:rPr>
          <w:rFonts w:hint="eastAsia"/>
          <w:b/>
          <w:color w:val="000000"/>
          <w:kern w:val="0"/>
          <w:sz w:val="24"/>
          <w:szCs w:val="24"/>
        </w:rPr>
        <w:t>3</w:t>
      </w:r>
      <w:r>
        <w:rPr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/>
          <w:b/>
          <w:color w:val="000000"/>
          <w:kern w:val="0"/>
          <w:sz w:val="24"/>
          <w:szCs w:val="24"/>
        </w:rPr>
        <w:t xml:space="preserve"> </w:t>
      </w:r>
      <w:r w:rsidR="00DE6E89">
        <w:rPr>
          <w:rFonts w:hint="eastAsia"/>
          <w:b/>
          <w:color w:val="000000"/>
          <w:sz w:val="24"/>
          <w:szCs w:val="24"/>
        </w:rPr>
        <w:t>2020</w:t>
      </w:r>
      <w:r>
        <w:rPr>
          <w:rFonts w:hint="eastAsia"/>
          <w:b/>
          <w:color w:val="000000"/>
          <w:sz w:val="24"/>
          <w:szCs w:val="24"/>
        </w:rPr>
        <w:t>—</w:t>
      </w:r>
      <w:r w:rsidR="00DE6E89">
        <w:rPr>
          <w:rFonts w:hint="eastAsia"/>
          <w:b/>
          <w:color w:val="000000"/>
          <w:sz w:val="24"/>
          <w:szCs w:val="24"/>
        </w:rPr>
        <w:t>2021</w:t>
      </w:r>
      <w:r>
        <w:rPr>
          <w:rFonts w:hint="eastAsia"/>
          <w:b/>
          <w:color w:val="000000"/>
          <w:sz w:val="24"/>
          <w:szCs w:val="24"/>
        </w:rPr>
        <w:t>学年</w:t>
      </w:r>
      <w:r>
        <w:rPr>
          <w:rFonts w:hint="eastAsia"/>
          <w:b/>
          <w:color w:val="000000"/>
          <w:kern w:val="0"/>
          <w:sz w:val="24"/>
          <w:szCs w:val="24"/>
        </w:rPr>
        <w:t>我校专任教师</w:t>
      </w:r>
      <w:r>
        <w:rPr>
          <w:rFonts w:hint="eastAsia"/>
          <w:b/>
          <w:color w:val="000000"/>
          <w:sz w:val="24"/>
          <w:szCs w:val="24"/>
        </w:rPr>
        <w:t>学历结构</w:t>
      </w:r>
    </w:p>
    <w:p w14:paraId="61FC0CC9" w14:textId="1392F813" w:rsidR="00352826" w:rsidRDefault="00352826" w:rsidP="00352826">
      <w:pPr>
        <w:autoSpaceDE w:val="0"/>
        <w:autoSpaceDN w:val="0"/>
        <w:adjustRightInd w:val="0"/>
        <w:spacing w:line="360" w:lineRule="auto"/>
        <w:ind w:firstLineChars="200" w:firstLine="482"/>
        <w:rPr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学</w:t>
      </w:r>
      <w:proofErr w:type="gramStart"/>
      <w:r>
        <w:rPr>
          <w:rFonts w:hint="eastAsia"/>
          <w:b/>
          <w:color w:val="000000"/>
          <w:sz w:val="24"/>
          <w:szCs w:val="24"/>
        </w:rPr>
        <w:t>缘结构</w:t>
      </w:r>
      <w:proofErr w:type="gramEnd"/>
      <w:r>
        <w:rPr>
          <w:rFonts w:hint="eastAsia"/>
          <w:b/>
          <w:color w:val="000000"/>
          <w:sz w:val="24"/>
          <w:szCs w:val="24"/>
        </w:rPr>
        <w:t>不断优化</w:t>
      </w:r>
      <w:r>
        <w:rPr>
          <w:rFonts w:hint="eastAsia"/>
          <w:color w:val="000000"/>
          <w:sz w:val="24"/>
          <w:szCs w:val="24"/>
        </w:rPr>
        <w:t>。</w:t>
      </w:r>
      <w:r>
        <w:rPr>
          <w:rFonts w:ascii="宋体" w:hAnsi="宋体" w:cs="仿宋_GB2312" w:hint="eastAsia"/>
          <w:color w:val="000000"/>
          <w:kern w:val="0"/>
          <w:sz w:val="24"/>
          <w:szCs w:val="24"/>
        </w:rPr>
        <w:t>学校重视师资队伍的多元化发展，新引进人员基本来自国内外知名高校，</w:t>
      </w:r>
      <w:r>
        <w:rPr>
          <w:rFonts w:hint="eastAsia"/>
          <w:color w:val="000000"/>
          <w:sz w:val="24"/>
          <w:szCs w:val="24"/>
        </w:rPr>
        <w:t>具有境外求学背景的教师数量和比例不断增加，</w:t>
      </w:r>
      <w:r w:rsidR="00A6527B">
        <w:rPr>
          <w:color w:val="000000"/>
          <w:kern w:val="0"/>
          <w:sz w:val="24"/>
          <w:szCs w:val="24"/>
        </w:rPr>
        <w:t>2020-2021</w:t>
      </w:r>
      <w:r>
        <w:rPr>
          <w:rFonts w:ascii="宋体" w:hAnsi="宋体" w:cs="仿宋_GB2312" w:hint="eastAsia"/>
          <w:color w:val="000000"/>
          <w:kern w:val="0"/>
          <w:sz w:val="24"/>
          <w:szCs w:val="24"/>
        </w:rPr>
        <w:t>学年专任教师中</w:t>
      </w:r>
      <w:proofErr w:type="gramStart"/>
      <w:r>
        <w:rPr>
          <w:rFonts w:hint="eastAsia"/>
          <w:color w:val="000000"/>
          <w:sz w:val="24"/>
          <w:szCs w:val="24"/>
        </w:rPr>
        <w:t>外校学缘达到</w:t>
      </w:r>
      <w:proofErr w:type="gramEnd"/>
      <w:r>
        <w:rPr>
          <w:rFonts w:hint="eastAsia"/>
          <w:color w:val="000000"/>
          <w:sz w:val="24"/>
          <w:szCs w:val="24"/>
        </w:rPr>
        <w:t>9</w:t>
      </w:r>
      <w:r w:rsidR="00402657">
        <w:rPr>
          <w:rFonts w:hint="eastAsia"/>
          <w:color w:val="000000"/>
          <w:sz w:val="24"/>
          <w:szCs w:val="24"/>
        </w:rPr>
        <w:t>4.0</w:t>
      </w:r>
      <w:r>
        <w:rPr>
          <w:rFonts w:hint="eastAsia"/>
          <w:color w:val="000000"/>
          <w:sz w:val="24"/>
          <w:szCs w:val="24"/>
        </w:rPr>
        <w:t>%</w:t>
      </w:r>
      <w:r>
        <w:rPr>
          <w:rFonts w:hint="eastAsia"/>
          <w:color w:val="000000"/>
          <w:sz w:val="24"/>
          <w:szCs w:val="24"/>
        </w:rPr>
        <w:t>，其中具有境外学历的教师占</w:t>
      </w:r>
      <w:r>
        <w:rPr>
          <w:rFonts w:hint="eastAsia"/>
          <w:color w:val="000000"/>
          <w:sz w:val="24"/>
          <w:szCs w:val="24"/>
        </w:rPr>
        <w:t>1</w:t>
      </w:r>
      <w:r w:rsidR="00402657">
        <w:rPr>
          <w:rFonts w:hint="eastAsia"/>
          <w:color w:val="000000"/>
          <w:sz w:val="24"/>
          <w:szCs w:val="24"/>
        </w:rPr>
        <w:t>8.5</w:t>
      </w:r>
      <w:r>
        <w:rPr>
          <w:color w:val="000000"/>
          <w:sz w:val="24"/>
          <w:szCs w:val="24"/>
        </w:rPr>
        <w:t>%</w:t>
      </w:r>
      <w:r>
        <w:rPr>
          <w:rFonts w:hint="eastAsia"/>
          <w:color w:val="000000"/>
          <w:sz w:val="24"/>
          <w:szCs w:val="24"/>
        </w:rPr>
        <w:t>。</w:t>
      </w:r>
    </w:p>
    <w:p w14:paraId="1D83601A" w14:textId="5A937DAA" w:rsidR="00352826" w:rsidRDefault="008A5303" w:rsidP="00352826">
      <w:pPr>
        <w:autoSpaceDE w:val="0"/>
        <w:autoSpaceDN w:val="0"/>
        <w:adjustRightInd w:val="0"/>
        <w:spacing w:line="360" w:lineRule="auto"/>
        <w:ind w:firstLineChars="200" w:firstLine="420"/>
        <w:rPr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48D9E4" wp14:editId="41E05141">
            <wp:extent cx="4572000" cy="2743200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40A7A32" w14:textId="0E9B5C0E" w:rsidR="00352826" w:rsidRDefault="00352826" w:rsidP="00352826">
      <w:pPr>
        <w:autoSpaceDE w:val="0"/>
        <w:autoSpaceDN w:val="0"/>
        <w:adjustRightInd w:val="0"/>
        <w:spacing w:line="360" w:lineRule="auto"/>
        <w:ind w:firstLineChars="200" w:firstLine="482"/>
        <w:jc w:val="center"/>
        <w:rPr>
          <w:b/>
          <w:color w:val="000000"/>
          <w:kern w:val="0"/>
          <w:sz w:val="24"/>
          <w:szCs w:val="24"/>
        </w:rPr>
      </w:pPr>
      <w:r>
        <w:rPr>
          <w:rFonts w:hint="eastAsia"/>
          <w:b/>
          <w:color w:val="000000"/>
          <w:kern w:val="0"/>
          <w:sz w:val="24"/>
          <w:szCs w:val="24"/>
        </w:rPr>
        <w:t>图</w:t>
      </w:r>
      <w:r>
        <w:rPr>
          <w:b/>
          <w:color w:val="000000"/>
          <w:kern w:val="0"/>
          <w:sz w:val="24"/>
          <w:szCs w:val="24"/>
        </w:rPr>
        <w:t>2-</w:t>
      </w:r>
      <w:r>
        <w:rPr>
          <w:rFonts w:hint="eastAsia"/>
          <w:b/>
          <w:color w:val="000000"/>
          <w:kern w:val="0"/>
          <w:sz w:val="24"/>
          <w:szCs w:val="24"/>
        </w:rPr>
        <w:t xml:space="preserve">4 </w:t>
      </w:r>
      <w:r>
        <w:rPr>
          <w:b/>
          <w:color w:val="000000"/>
          <w:kern w:val="0"/>
          <w:sz w:val="24"/>
          <w:szCs w:val="24"/>
        </w:rPr>
        <w:t xml:space="preserve"> </w:t>
      </w:r>
      <w:r w:rsidR="007665F3">
        <w:rPr>
          <w:rFonts w:hint="eastAsia"/>
          <w:b/>
          <w:color w:val="000000"/>
          <w:sz w:val="24"/>
          <w:szCs w:val="24"/>
        </w:rPr>
        <w:t>2020</w:t>
      </w:r>
      <w:r>
        <w:rPr>
          <w:rFonts w:hint="eastAsia"/>
          <w:b/>
          <w:color w:val="000000"/>
          <w:sz w:val="24"/>
          <w:szCs w:val="24"/>
        </w:rPr>
        <w:t>—</w:t>
      </w:r>
      <w:r w:rsidR="007665F3">
        <w:rPr>
          <w:rFonts w:hint="eastAsia"/>
          <w:b/>
          <w:color w:val="000000"/>
          <w:sz w:val="24"/>
          <w:szCs w:val="24"/>
        </w:rPr>
        <w:t>2021</w:t>
      </w:r>
      <w:r>
        <w:rPr>
          <w:rFonts w:hint="eastAsia"/>
          <w:b/>
          <w:color w:val="000000"/>
          <w:sz w:val="24"/>
          <w:szCs w:val="24"/>
        </w:rPr>
        <w:t>学年</w:t>
      </w:r>
      <w:r>
        <w:rPr>
          <w:rFonts w:hint="eastAsia"/>
          <w:b/>
          <w:color w:val="000000"/>
          <w:kern w:val="0"/>
          <w:sz w:val="24"/>
          <w:szCs w:val="24"/>
        </w:rPr>
        <w:t>我校专任教师</w:t>
      </w:r>
      <w:r>
        <w:rPr>
          <w:rFonts w:hint="eastAsia"/>
          <w:b/>
          <w:color w:val="000000"/>
          <w:sz w:val="24"/>
          <w:szCs w:val="24"/>
        </w:rPr>
        <w:t>学缘结构</w:t>
      </w:r>
    </w:p>
    <w:p w14:paraId="30FEA535" w14:textId="77777777" w:rsidR="00352826" w:rsidRDefault="00352826" w:rsidP="00352826">
      <w:pPr>
        <w:spacing w:line="360" w:lineRule="auto"/>
        <w:ind w:firstLineChars="200" w:firstLine="482"/>
        <w:outlineLvl w:val="2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hint="eastAsia"/>
          <w:b/>
          <w:color w:val="000000"/>
          <w:sz w:val="24"/>
          <w:szCs w:val="24"/>
        </w:rPr>
        <w:t>教师队伍建设规划及发展态势</w:t>
      </w:r>
    </w:p>
    <w:p w14:paraId="3414C250" w14:textId="77777777" w:rsidR="00352826" w:rsidRDefault="00352826" w:rsidP="00352826">
      <w:pPr>
        <w:widowControl/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学校制定了</w:t>
      </w:r>
      <w:r>
        <w:rPr>
          <w:rFonts w:ascii="宋体" w:hAnsi="宋体" w:hint="eastAsia"/>
          <w:color w:val="000000"/>
          <w:sz w:val="24"/>
          <w:szCs w:val="24"/>
        </w:rPr>
        <w:t>《北京工商大学“十三五”人才队伍建设发展规划》</w:t>
      </w:r>
      <w:r>
        <w:rPr>
          <w:rFonts w:ascii="宋体" w:hAnsi="宋体"/>
          <w:color w:val="000000"/>
          <w:sz w:val="24"/>
          <w:szCs w:val="24"/>
        </w:rPr>
        <w:t>，明确了“以公开招聘和竞争择优为导向的人才遴选机制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>
        <w:rPr>
          <w:rFonts w:ascii="宋体" w:hAnsi="宋体"/>
          <w:color w:val="000000"/>
          <w:sz w:val="24"/>
          <w:szCs w:val="24"/>
        </w:rPr>
        <w:t>以权责明晰和聘约管理为导向的分类管理机制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>
        <w:rPr>
          <w:rFonts w:ascii="宋体" w:hAnsi="宋体"/>
          <w:color w:val="000000"/>
          <w:sz w:val="24"/>
          <w:szCs w:val="24"/>
        </w:rPr>
        <w:t>以不断学习和开拓创新为导向的教师持续发展机制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>
        <w:rPr>
          <w:rFonts w:ascii="宋体" w:hAnsi="宋体"/>
          <w:color w:val="000000"/>
          <w:sz w:val="24"/>
          <w:szCs w:val="24"/>
        </w:rPr>
        <w:t>以专业发展和绩效产出为导向的考核评价机制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>
        <w:rPr>
          <w:rFonts w:ascii="宋体" w:hAnsi="宋体"/>
          <w:color w:val="000000"/>
          <w:sz w:val="24"/>
          <w:szCs w:val="24"/>
        </w:rPr>
        <w:t>以爱岗敬业和业绩贡献为导向的薪酬激励机制</w:t>
      </w:r>
      <w:r>
        <w:rPr>
          <w:rFonts w:ascii="宋体" w:hAnsi="宋体" w:hint="eastAsia"/>
          <w:color w:val="000000"/>
          <w:sz w:val="24"/>
          <w:szCs w:val="24"/>
        </w:rPr>
        <w:t>，</w:t>
      </w:r>
      <w:r>
        <w:rPr>
          <w:rFonts w:ascii="宋体" w:hAnsi="宋体"/>
          <w:color w:val="000000"/>
          <w:sz w:val="24"/>
          <w:szCs w:val="24"/>
        </w:rPr>
        <w:t>以社会保障和社会化管理为导向的退出机制”的工作机制。通过实施“高层次领军人才卓越计划、专任教师能力全面提升工程、青年教师快速成长计划、师资队伍国际化工程、教师岗位分类管理计划”等措施，</w:t>
      </w:r>
      <w:r>
        <w:rPr>
          <w:color w:val="000000"/>
          <w:sz w:val="24"/>
          <w:szCs w:val="24"/>
        </w:rPr>
        <w:t>努力建设一支师德优良、数量充足、结构优化、素质良好、具有较强创新能力和较高国际化水平的师资队伍，为学校转型发展提供强有力的人才保障与智力支持。</w:t>
      </w:r>
      <w:r>
        <w:rPr>
          <w:color w:val="000000"/>
          <w:sz w:val="24"/>
          <w:szCs w:val="24"/>
        </w:rPr>
        <w:t xml:space="preserve"> </w:t>
      </w:r>
    </w:p>
    <w:p w14:paraId="1B6F4BA9" w14:textId="0EB19706" w:rsidR="00352826" w:rsidRDefault="00352826" w:rsidP="00352826">
      <w:pPr>
        <w:spacing w:line="360" w:lineRule="auto"/>
        <w:ind w:firstLineChars="200" w:firstLine="480"/>
        <w:rPr>
          <w:color w:val="000000"/>
          <w:kern w:val="0"/>
          <w:sz w:val="24"/>
          <w:szCs w:val="24"/>
        </w:rPr>
      </w:pPr>
      <w:r w:rsidRPr="00866E4D">
        <w:rPr>
          <w:rFonts w:hint="eastAsia"/>
          <w:color w:val="000000"/>
          <w:sz w:val="24"/>
          <w:szCs w:val="24"/>
        </w:rPr>
        <w:t>目前，学校已有中国工程院院士、国家“千人计划”和“万人计划”入选者、百千万人才工程国家级人选、全国</w:t>
      </w:r>
      <w:r w:rsidRPr="001B13FC">
        <w:rPr>
          <w:rFonts w:hint="eastAsia"/>
          <w:sz w:val="24"/>
          <w:szCs w:val="24"/>
        </w:rPr>
        <w:t>优秀教师</w:t>
      </w:r>
      <w:r w:rsidRPr="00866E4D">
        <w:rPr>
          <w:rFonts w:hint="eastAsia"/>
          <w:color w:val="000000"/>
          <w:sz w:val="24"/>
          <w:szCs w:val="24"/>
        </w:rPr>
        <w:t>、享受政府特殊津贴专家、北京学者、</w:t>
      </w:r>
      <w:r w:rsidRPr="001B13FC">
        <w:rPr>
          <w:rFonts w:hint="eastAsia"/>
          <w:color w:val="000000"/>
          <w:sz w:val="24"/>
          <w:szCs w:val="24"/>
        </w:rPr>
        <w:t>北京市教学名师</w:t>
      </w:r>
      <w:r w:rsidRPr="00866E4D">
        <w:rPr>
          <w:rFonts w:hint="eastAsia"/>
          <w:color w:val="000000"/>
          <w:sz w:val="24"/>
          <w:szCs w:val="24"/>
        </w:rPr>
        <w:t>等市级及以上人才</w:t>
      </w:r>
      <w:proofErr w:type="gramStart"/>
      <w:r w:rsidR="00D7002A" w:rsidRPr="001B13FC">
        <w:rPr>
          <w:rFonts w:hint="eastAsia"/>
          <w:sz w:val="24"/>
          <w:szCs w:val="24"/>
        </w:rPr>
        <w:t>4</w:t>
      </w:r>
      <w:r w:rsidR="001B13FC" w:rsidRPr="001B13FC">
        <w:rPr>
          <w:sz w:val="24"/>
          <w:szCs w:val="24"/>
        </w:rPr>
        <w:t>2</w:t>
      </w:r>
      <w:r w:rsidRPr="00866E4D">
        <w:rPr>
          <w:rFonts w:hint="eastAsia"/>
          <w:color w:val="000000"/>
          <w:sz w:val="24"/>
          <w:szCs w:val="24"/>
        </w:rPr>
        <w:t>余人次</w:t>
      </w:r>
      <w:proofErr w:type="gramEnd"/>
      <w:r w:rsidRPr="00866E4D">
        <w:rPr>
          <w:rFonts w:hint="eastAsia"/>
          <w:color w:val="000000"/>
          <w:sz w:val="24"/>
          <w:szCs w:val="24"/>
        </w:rPr>
        <w:t>。</w:t>
      </w:r>
      <w:r w:rsidRPr="00866E4D">
        <w:rPr>
          <w:color w:val="000000"/>
          <w:sz w:val="24"/>
          <w:szCs w:val="24"/>
        </w:rPr>
        <w:t>到</w:t>
      </w:r>
      <w:r w:rsidRPr="00866E4D">
        <w:rPr>
          <w:rFonts w:ascii="宋体" w:hAnsi="宋体"/>
          <w:color w:val="000000"/>
          <w:sz w:val="24"/>
          <w:szCs w:val="24"/>
        </w:rPr>
        <w:t>“</w:t>
      </w:r>
      <w:r w:rsidR="002858D1">
        <w:rPr>
          <w:rFonts w:ascii="宋体" w:hAnsi="宋体"/>
          <w:color w:val="000000"/>
          <w:sz w:val="24"/>
          <w:szCs w:val="24"/>
        </w:rPr>
        <w:t>十</w:t>
      </w:r>
      <w:r w:rsidR="002858D1">
        <w:rPr>
          <w:rFonts w:ascii="宋体" w:hAnsi="宋体" w:hint="eastAsia"/>
          <w:color w:val="000000"/>
          <w:sz w:val="24"/>
          <w:szCs w:val="24"/>
        </w:rPr>
        <w:t>四</w:t>
      </w:r>
      <w:r w:rsidRPr="00866E4D">
        <w:rPr>
          <w:rFonts w:ascii="宋体" w:hAnsi="宋体"/>
          <w:color w:val="000000"/>
          <w:sz w:val="24"/>
          <w:szCs w:val="24"/>
        </w:rPr>
        <w:t>五”</w:t>
      </w:r>
      <w:r w:rsidRPr="00866E4D">
        <w:rPr>
          <w:color w:val="000000"/>
          <w:sz w:val="24"/>
          <w:szCs w:val="24"/>
        </w:rPr>
        <w:t>末，学校专任教师</w:t>
      </w:r>
      <w:r w:rsidRPr="00866E4D">
        <w:rPr>
          <w:rFonts w:hint="eastAsia"/>
          <w:color w:val="000000"/>
          <w:sz w:val="24"/>
          <w:szCs w:val="24"/>
        </w:rPr>
        <w:t>将</w:t>
      </w:r>
      <w:r w:rsidRPr="00866E4D">
        <w:rPr>
          <w:color w:val="000000"/>
          <w:sz w:val="24"/>
          <w:szCs w:val="24"/>
        </w:rPr>
        <w:t>超过</w:t>
      </w:r>
      <w:r w:rsidR="009C5B17" w:rsidRPr="009C5B17">
        <w:rPr>
          <w:color w:val="000000" w:themeColor="text1"/>
          <w:sz w:val="24"/>
          <w:szCs w:val="24"/>
        </w:rPr>
        <w:t>1200</w:t>
      </w:r>
      <w:r w:rsidRPr="00866E4D">
        <w:rPr>
          <w:color w:val="000000"/>
          <w:sz w:val="24"/>
          <w:szCs w:val="24"/>
        </w:rPr>
        <w:t>人，其中具有博士学位者达到</w:t>
      </w:r>
      <w:r w:rsidRPr="00866E4D">
        <w:rPr>
          <w:color w:val="000000"/>
          <w:sz w:val="24"/>
          <w:szCs w:val="24"/>
        </w:rPr>
        <w:t>70%</w:t>
      </w:r>
      <w:r w:rsidRPr="00866E4D">
        <w:rPr>
          <w:color w:val="000000"/>
          <w:sz w:val="24"/>
          <w:szCs w:val="24"/>
        </w:rPr>
        <w:t>以上，</w:t>
      </w:r>
      <w:r w:rsidRPr="00866E4D">
        <w:rPr>
          <w:rFonts w:ascii="宋体" w:hAnsi="宋体"/>
          <w:color w:val="000000"/>
          <w:sz w:val="24"/>
          <w:szCs w:val="24"/>
        </w:rPr>
        <w:t>拥有两院院士、“长江学者”、国家杰出青年基金获得者、国家“千人计划”和“万人计划”入选</w:t>
      </w:r>
      <w:r w:rsidRPr="00866E4D">
        <w:rPr>
          <w:color w:val="000000"/>
          <w:sz w:val="24"/>
          <w:szCs w:val="24"/>
        </w:rPr>
        <w:t>者等国家级高层次人才</w:t>
      </w:r>
      <w:r w:rsidRPr="00866E4D">
        <w:rPr>
          <w:rFonts w:hint="eastAsia"/>
          <w:color w:val="000000"/>
          <w:sz w:val="24"/>
          <w:szCs w:val="24"/>
        </w:rPr>
        <w:t>10</w:t>
      </w:r>
      <w:r w:rsidRPr="00866E4D">
        <w:rPr>
          <w:color w:val="000000"/>
          <w:sz w:val="24"/>
          <w:szCs w:val="24"/>
        </w:rPr>
        <w:t>人</w:t>
      </w:r>
      <w:r w:rsidRPr="00866E4D">
        <w:rPr>
          <w:rFonts w:hint="eastAsia"/>
          <w:color w:val="000000"/>
          <w:sz w:val="24"/>
          <w:szCs w:val="24"/>
        </w:rPr>
        <w:t>次</w:t>
      </w:r>
      <w:r w:rsidRPr="00866E4D">
        <w:rPr>
          <w:color w:val="000000"/>
          <w:sz w:val="24"/>
          <w:szCs w:val="24"/>
        </w:rPr>
        <w:t>以上。</w:t>
      </w:r>
    </w:p>
    <w:p w14:paraId="17B648A5" w14:textId="77777777" w:rsidR="00352826" w:rsidRDefault="00352826" w:rsidP="00352826">
      <w:pPr>
        <w:spacing w:line="360" w:lineRule="auto"/>
        <w:ind w:firstLineChars="200" w:firstLine="482"/>
        <w:outlineLvl w:val="2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hint="eastAsia"/>
          <w:b/>
          <w:color w:val="000000"/>
          <w:sz w:val="24"/>
          <w:szCs w:val="24"/>
        </w:rPr>
        <w:t>专业带头人、中青年骨干教师、教学及科研团队建设情况和效果</w:t>
      </w:r>
    </w:p>
    <w:p w14:paraId="470DA8E6" w14:textId="77777777" w:rsidR="00352826" w:rsidRDefault="00352826" w:rsidP="00352826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学校</w:t>
      </w:r>
      <w:r>
        <w:rPr>
          <w:rFonts w:hint="eastAsia"/>
          <w:color w:val="000000"/>
          <w:sz w:val="24"/>
          <w:szCs w:val="24"/>
        </w:rPr>
        <w:t>高度</w:t>
      </w:r>
      <w:r>
        <w:rPr>
          <w:color w:val="000000"/>
          <w:sz w:val="24"/>
          <w:szCs w:val="24"/>
        </w:rPr>
        <w:t>重视专业带头人的培育选拔，</w:t>
      </w:r>
      <w:r>
        <w:rPr>
          <w:color w:val="000000"/>
          <w:kern w:val="0"/>
          <w:sz w:val="24"/>
          <w:szCs w:val="24"/>
        </w:rPr>
        <w:t>依托优势学科和创新平台，大力培养一批学术基础扎实，具有较强创新能力和发展潜力的优秀学术带头人。</w:t>
      </w:r>
      <w:r>
        <w:rPr>
          <w:color w:val="000000"/>
          <w:sz w:val="24"/>
          <w:szCs w:val="24"/>
        </w:rPr>
        <w:t>目前共有</w:t>
      </w:r>
      <w:r>
        <w:rPr>
          <w:color w:val="000000"/>
          <w:sz w:val="24"/>
          <w:szCs w:val="24"/>
        </w:rPr>
        <w:lastRenderedPageBreak/>
        <w:t>专业带头人</w: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人</w:t>
      </w:r>
      <w:r>
        <w:rPr>
          <w:rFonts w:hint="eastAsia"/>
          <w:color w:val="000000"/>
          <w:sz w:val="24"/>
          <w:szCs w:val="24"/>
        </w:rPr>
        <w:t>。</w:t>
      </w:r>
    </w:p>
    <w:p w14:paraId="721559EA" w14:textId="77777777" w:rsidR="00352826" w:rsidRDefault="00352826" w:rsidP="00352826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 w:rsidRPr="00866E4D">
        <w:rPr>
          <w:rFonts w:hint="eastAsia"/>
          <w:color w:val="000000"/>
          <w:sz w:val="24"/>
          <w:szCs w:val="24"/>
        </w:rPr>
        <w:t>学校</w:t>
      </w:r>
      <w:r w:rsidRPr="00866E4D">
        <w:rPr>
          <w:color w:val="000000"/>
          <w:sz w:val="24"/>
          <w:szCs w:val="24"/>
        </w:rPr>
        <w:t>深入实施</w:t>
      </w:r>
      <w:r w:rsidRPr="00866E4D">
        <w:rPr>
          <w:rFonts w:ascii="宋体" w:hAnsi="宋体"/>
          <w:color w:val="000000"/>
          <w:sz w:val="24"/>
          <w:szCs w:val="24"/>
        </w:rPr>
        <w:t>“人才强校”</w:t>
      </w:r>
      <w:r w:rsidRPr="00866E4D">
        <w:rPr>
          <w:color w:val="000000"/>
          <w:sz w:val="24"/>
          <w:szCs w:val="24"/>
        </w:rPr>
        <w:t>战略，以学科建设为龙头，加大</w:t>
      </w:r>
      <w:r w:rsidRPr="00866E4D">
        <w:rPr>
          <w:color w:val="000000"/>
          <w:kern w:val="0"/>
          <w:sz w:val="24"/>
          <w:szCs w:val="24"/>
        </w:rPr>
        <w:t>高层次领军人才和中青年骨干教师培养、引进力度，推进创新团队建设，</w:t>
      </w:r>
      <w:r w:rsidRPr="00866E4D">
        <w:rPr>
          <w:color w:val="000000"/>
          <w:sz w:val="24"/>
          <w:szCs w:val="24"/>
        </w:rPr>
        <w:t>形成了一批优秀教学和科研团队。学校拥</w:t>
      </w:r>
      <w:r w:rsidRPr="00866E4D">
        <w:rPr>
          <w:color w:val="000000"/>
          <w:kern w:val="0"/>
          <w:sz w:val="24"/>
          <w:szCs w:val="24"/>
        </w:rPr>
        <w:t>有</w:t>
      </w:r>
      <w:r w:rsidRPr="00866E4D">
        <w:rPr>
          <w:rFonts w:hint="eastAsia"/>
          <w:color w:val="000000"/>
          <w:kern w:val="0"/>
          <w:sz w:val="24"/>
          <w:szCs w:val="24"/>
        </w:rPr>
        <w:t>“</w:t>
      </w:r>
      <w:r w:rsidRPr="00866E4D">
        <w:rPr>
          <w:color w:val="000000"/>
          <w:sz w:val="24"/>
          <w:szCs w:val="24"/>
        </w:rPr>
        <w:t>全国高校黄大年式</w:t>
      </w:r>
      <w:r w:rsidRPr="00866E4D">
        <w:rPr>
          <w:rFonts w:hint="eastAsia"/>
          <w:color w:val="000000"/>
          <w:kern w:val="0"/>
          <w:sz w:val="24"/>
          <w:szCs w:val="24"/>
        </w:rPr>
        <w:t>”</w:t>
      </w:r>
      <w:r w:rsidRPr="00866E4D">
        <w:rPr>
          <w:color w:val="000000"/>
          <w:sz w:val="24"/>
          <w:szCs w:val="24"/>
        </w:rPr>
        <w:t>教师团队</w:t>
      </w:r>
      <w:r w:rsidRPr="00866E4D">
        <w:rPr>
          <w:color w:val="000000"/>
          <w:sz w:val="24"/>
          <w:szCs w:val="24"/>
        </w:rPr>
        <w:t>1</w:t>
      </w:r>
      <w:r w:rsidRPr="00866E4D">
        <w:rPr>
          <w:color w:val="000000"/>
          <w:sz w:val="24"/>
          <w:szCs w:val="24"/>
        </w:rPr>
        <w:t>个，国家级教学团队</w:t>
      </w:r>
      <w:r w:rsidRPr="00866E4D">
        <w:rPr>
          <w:color w:val="000000"/>
          <w:sz w:val="24"/>
          <w:szCs w:val="24"/>
        </w:rPr>
        <w:t>2</w:t>
      </w:r>
      <w:r w:rsidRPr="00866E4D">
        <w:rPr>
          <w:color w:val="000000"/>
          <w:sz w:val="24"/>
          <w:szCs w:val="24"/>
        </w:rPr>
        <w:t>个，北京市级</w:t>
      </w:r>
      <w:r w:rsidRPr="00866E4D">
        <w:rPr>
          <w:rFonts w:hint="eastAsia"/>
          <w:color w:val="000000"/>
          <w:sz w:val="24"/>
          <w:szCs w:val="24"/>
        </w:rPr>
        <w:t>优秀</w:t>
      </w:r>
      <w:r w:rsidRPr="00866E4D">
        <w:rPr>
          <w:color w:val="000000"/>
          <w:sz w:val="24"/>
          <w:szCs w:val="24"/>
        </w:rPr>
        <w:t>教学团队</w:t>
      </w:r>
      <w:r w:rsidRPr="00866E4D">
        <w:rPr>
          <w:color w:val="000000"/>
          <w:sz w:val="24"/>
          <w:szCs w:val="24"/>
        </w:rPr>
        <w:t>6</w:t>
      </w:r>
      <w:r w:rsidRPr="00866E4D">
        <w:rPr>
          <w:color w:val="000000"/>
          <w:sz w:val="24"/>
          <w:szCs w:val="24"/>
        </w:rPr>
        <w:t>个</w:t>
      </w:r>
      <w:r w:rsidRPr="00866E4D">
        <w:rPr>
          <w:rFonts w:hint="eastAsia"/>
          <w:color w:val="000000"/>
          <w:sz w:val="24"/>
          <w:szCs w:val="24"/>
        </w:rPr>
        <w:t>，</w:t>
      </w:r>
      <w:r w:rsidRPr="00866E4D">
        <w:rPr>
          <w:color w:val="000000"/>
          <w:sz w:val="24"/>
          <w:szCs w:val="24"/>
        </w:rPr>
        <w:t>北京市委组织部青年拔尖团队</w:t>
      </w:r>
      <w:r w:rsidRPr="00866E4D">
        <w:rPr>
          <w:color w:val="000000"/>
          <w:sz w:val="24"/>
          <w:szCs w:val="24"/>
        </w:rPr>
        <w:t>1</w:t>
      </w:r>
      <w:r w:rsidRPr="00866E4D">
        <w:rPr>
          <w:color w:val="000000"/>
          <w:sz w:val="24"/>
          <w:szCs w:val="24"/>
        </w:rPr>
        <w:t>个，北京市教委</w:t>
      </w:r>
      <w:r w:rsidRPr="00866E4D">
        <w:rPr>
          <w:rFonts w:hint="eastAsia"/>
          <w:color w:val="000000"/>
          <w:sz w:val="24"/>
          <w:szCs w:val="24"/>
        </w:rPr>
        <w:t>教学</w:t>
      </w:r>
      <w:r w:rsidRPr="00866E4D">
        <w:rPr>
          <w:color w:val="000000"/>
          <w:sz w:val="24"/>
          <w:szCs w:val="24"/>
        </w:rPr>
        <w:t>创新团队、学术创新团队、高水平创新团队等</w:t>
      </w:r>
      <w:r w:rsidRPr="00866E4D">
        <w:rPr>
          <w:color w:val="000000"/>
          <w:sz w:val="24"/>
          <w:szCs w:val="24"/>
        </w:rPr>
        <w:t>20</w:t>
      </w:r>
      <w:r w:rsidRPr="00866E4D">
        <w:rPr>
          <w:color w:val="000000"/>
          <w:sz w:val="24"/>
          <w:szCs w:val="24"/>
        </w:rPr>
        <w:t>个。</w:t>
      </w:r>
    </w:p>
    <w:p w14:paraId="38276875" w14:textId="77777777" w:rsidR="00087F50" w:rsidRDefault="00087F50" w:rsidP="00087F50">
      <w:pPr>
        <w:pStyle w:val="3"/>
        <w:jc w:val="left"/>
      </w:pPr>
      <w:r>
        <w:rPr>
          <w:rFonts w:ascii="宋体" w:eastAsia="宋体" w:hAnsi="宋体" w:hint="eastAsia"/>
          <w:sz w:val="28"/>
          <w:szCs w:val="28"/>
        </w:rPr>
        <w:t>教师队伍结构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508"/>
        <w:gridCol w:w="942"/>
        <w:gridCol w:w="942"/>
        <w:gridCol w:w="907"/>
        <w:gridCol w:w="1658"/>
        <w:gridCol w:w="907"/>
        <w:gridCol w:w="1658"/>
      </w:tblGrid>
      <w:tr w:rsidR="00087F50" w14:paraId="0E84080F" w14:textId="77777777" w:rsidTr="001A55E2">
        <w:trPr>
          <w:trHeight w:val="391"/>
          <w:tblHeader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 w14:paraId="5ADF337C" w14:textId="77777777" w:rsidR="00087F50" w:rsidRDefault="00087F50" w:rsidP="001A55E2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0" w:type="auto"/>
            <w:gridSpan w:val="2"/>
            <w:vAlign w:val="center"/>
          </w:tcPr>
          <w:p w14:paraId="3FC6F3DD" w14:textId="77777777" w:rsidR="00087F50" w:rsidRDefault="00087F50" w:rsidP="001A55E2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专任教师</w:t>
            </w:r>
          </w:p>
        </w:tc>
        <w:tc>
          <w:tcPr>
            <w:tcW w:w="0" w:type="auto"/>
            <w:gridSpan w:val="2"/>
            <w:vAlign w:val="center"/>
          </w:tcPr>
          <w:p w14:paraId="4E863AA1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外聘教师</w:t>
            </w:r>
          </w:p>
        </w:tc>
      </w:tr>
      <w:tr w:rsidR="00087F50" w:rsidRPr="00866E4D" w14:paraId="527AEFD4" w14:textId="77777777" w:rsidTr="001A55E2">
        <w:trPr>
          <w:trHeight w:val="391"/>
          <w:tblHeader/>
          <w:jc w:val="center"/>
        </w:trPr>
        <w:tc>
          <w:tcPr>
            <w:tcW w:w="0" w:type="auto"/>
            <w:gridSpan w:val="3"/>
            <w:vMerge/>
            <w:vAlign w:val="center"/>
          </w:tcPr>
          <w:p w14:paraId="7A35EB8E" w14:textId="77777777" w:rsidR="00087F50" w:rsidRDefault="00087F50" w:rsidP="001A55E2">
            <w:pPr>
              <w:jc w:val="center"/>
            </w:pPr>
          </w:p>
        </w:tc>
        <w:tc>
          <w:tcPr>
            <w:tcW w:w="0" w:type="auto"/>
            <w:vAlign w:val="center"/>
          </w:tcPr>
          <w:p w14:paraId="019AAB10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0" w:type="auto"/>
            <w:vAlign w:val="center"/>
          </w:tcPr>
          <w:p w14:paraId="25A13DAF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比例（%）</w:t>
            </w:r>
          </w:p>
        </w:tc>
        <w:tc>
          <w:tcPr>
            <w:tcW w:w="0" w:type="auto"/>
            <w:vAlign w:val="center"/>
          </w:tcPr>
          <w:p w14:paraId="35C8373F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0" w:type="auto"/>
            <w:vAlign w:val="center"/>
          </w:tcPr>
          <w:p w14:paraId="5CFC349A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比例（%）</w:t>
            </w:r>
          </w:p>
        </w:tc>
      </w:tr>
      <w:tr w:rsidR="00087F50" w:rsidRPr="00866E4D" w14:paraId="67793CB3" w14:textId="77777777" w:rsidTr="001A55E2">
        <w:trPr>
          <w:trHeight w:val="391"/>
          <w:jc w:val="center"/>
        </w:trPr>
        <w:tc>
          <w:tcPr>
            <w:tcW w:w="0" w:type="auto"/>
            <w:gridSpan w:val="3"/>
            <w:vAlign w:val="center"/>
          </w:tcPr>
          <w:p w14:paraId="514F89D5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总计</w:t>
            </w:r>
          </w:p>
        </w:tc>
        <w:tc>
          <w:tcPr>
            <w:tcW w:w="0" w:type="auto"/>
            <w:vAlign w:val="center"/>
          </w:tcPr>
          <w:p w14:paraId="736786D8" w14:textId="77777777" w:rsidR="00402657" w:rsidRPr="00866E4D" w:rsidRDefault="00087F50" w:rsidP="00402657">
            <w:pPr>
              <w:jc w:val="center"/>
              <w:rPr>
                <w:rFonts w:ascii="宋体" w:hAnsi="宋体"/>
                <w:szCs w:val="21"/>
              </w:rPr>
            </w:pPr>
            <w:r w:rsidRPr="00866E4D">
              <w:rPr>
                <w:rFonts w:ascii="宋体" w:hAnsi="宋体" w:hint="eastAsia"/>
                <w:szCs w:val="21"/>
              </w:rPr>
              <w:t>1</w:t>
            </w:r>
            <w:r w:rsidR="00402657" w:rsidRPr="00866E4D">
              <w:rPr>
                <w:rFonts w:ascii="宋体" w:hAnsi="宋体" w:hint="eastAsia"/>
                <w:szCs w:val="21"/>
              </w:rPr>
              <w:t>124</w:t>
            </w:r>
          </w:p>
        </w:tc>
        <w:tc>
          <w:tcPr>
            <w:tcW w:w="0" w:type="auto"/>
            <w:vAlign w:val="center"/>
          </w:tcPr>
          <w:p w14:paraId="65ACFDD5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0" w:type="auto"/>
            <w:vAlign w:val="center"/>
          </w:tcPr>
          <w:p w14:paraId="3892CDD7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58</w:t>
            </w:r>
          </w:p>
        </w:tc>
        <w:tc>
          <w:tcPr>
            <w:tcW w:w="0" w:type="auto"/>
            <w:vAlign w:val="center"/>
          </w:tcPr>
          <w:p w14:paraId="72EF7570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087F50" w:rsidRPr="00866E4D" w14:paraId="1AFE76CD" w14:textId="77777777" w:rsidTr="001A55E2">
        <w:trPr>
          <w:trHeight w:val="391"/>
          <w:jc w:val="center"/>
        </w:trPr>
        <w:tc>
          <w:tcPr>
            <w:tcW w:w="0" w:type="auto"/>
            <w:vMerge w:val="restart"/>
            <w:vAlign w:val="center"/>
          </w:tcPr>
          <w:p w14:paraId="311A9856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0" w:type="auto"/>
            <w:gridSpan w:val="2"/>
            <w:vAlign w:val="center"/>
          </w:tcPr>
          <w:p w14:paraId="6452F800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教授</w:t>
            </w:r>
          </w:p>
        </w:tc>
        <w:tc>
          <w:tcPr>
            <w:tcW w:w="0" w:type="auto"/>
            <w:vAlign w:val="center"/>
          </w:tcPr>
          <w:p w14:paraId="5E011341" w14:textId="77777777" w:rsidR="00087F50" w:rsidRPr="00866E4D" w:rsidRDefault="00402657" w:rsidP="001A55E2">
            <w:pPr>
              <w:jc w:val="center"/>
            </w:pPr>
            <w:r w:rsidRPr="00866E4D">
              <w:rPr>
                <w:rFonts w:hint="eastAsia"/>
              </w:rPr>
              <w:t>219</w:t>
            </w:r>
          </w:p>
        </w:tc>
        <w:tc>
          <w:tcPr>
            <w:tcW w:w="0" w:type="auto"/>
            <w:vAlign w:val="center"/>
          </w:tcPr>
          <w:p w14:paraId="6A4C9D19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</w:t>
            </w:r>
            <w:r w:rsidR="00402657" w:rsidRPr="00866E4D">
              <w:rPr>
                <w:rFonts w:ascii="宋体" w:hAnsi="宋体" w:hint="eastAsia"/>
                <w:szCs w:val="21"/>
              </w:rPr>
              <w:t>9.48</w:t>
            </w:r>
          </w:p>
        </w:tc>
        <w:tc>
          <w:tcPr>
            <w:tcW w:w="0" w:type="auto"/>
            <w:vAlign w:val="center"/>
          </w:tcPr>
          <w:p w14:paraId="1833A4EC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0" w:type="auto"/>
            <w:vAlign w:val="center"/>
          </w:tcPr>
          <w:p w14:paraId="104AA73D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32.76</w:t>
            </w:r>
          </w:p>
        </w:tc>
      </w:tr>
      <w:tr w:rsidR="00087F50" w:rsidRPr="00866E4D" w14:paraId="223AE1D2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2F204D52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05431B22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副教授</w:t>
            </w:r>
          </w:p>
        </w:tc>
        <w:tc>
          <w:tcPr>
            <w:tcW w:w="0" w:type="auto"/>
            <w:vAlign w:val="center"/>
          </w:tcPr>
          <w:p w14:paraId="7A74A0BE" w14:textId="77777777" w:rsidR="00087F50" w:rsidRPr="00866E4D" w:rsidRDefault="00402657" w:rsidP="001A55E2">
            <w:pPr>
              <w:jc w:val="center"/>
            </w:pPr>
            <w:r w:rsidRPr="00866E4D">
              <w:rPr>
                <w:rFonts w:hint="eastAsia"/>
              </w:rPr>
              <w:t>521</w:t>
            </w:r>
          </w:p>
        </w:tc>
        <w:tc>
          <w:tcPr>
            <w:tcW w:w="0" w:type="auto"/>
            <w:vAlign w:val="center"/>
          </w:tcPr>
          <w:p w14:paraId="67479E78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4</w:t>
            </w:r>
            <w:r w:rsidR="000F60A8" w:rsidRPr="00866E4D">
              <w:rPr>
                <w:rFonts w:ascii="宋体" w:hAnsi="宋体" w:hint="eastAsia"/>
                <w:szCs w:val="21"/>
              </w:rPr>
              <w:t>6.35</w:t>
            </w:r>
          </w:p>
        </w:tc>
        <w:tc>
          <w:tcPr>
            <w:tcW w:w="0" w:type="auto"/>
            <w:vAlign w:val="center"/>
          </w:tcPr>
          <w:p w14:paraId="41974EC4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64B581A1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6.9</w:t>
            </w:r>
          </w:p>
        </w:tc>
      </w:tr>
      <w:tr w:rsidR="00087F50" w:rsidRPr="00866E4D" w14:paraId="7BC95487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47F5F115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412E8A85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讲师</w:t>
            </w:r>
          </w:p>
        </w:tc>
        <w:tc>
          <w:tcPr>
            <w:tcW w:w="0" w:type="auto"/>
            <w:vAlign w:val="center"/>
          </w:tcPr>
          <w:p w14:paraId="3184ECA1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3</w:t>
            </w:r>
            <w:r w:rsidR="000F60A8" w:rsidRPr="00866E4D"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0" w:type="auto"/>
            <w:vAlign w:val="center"/>
          </w:tcPr>
          <w:p w14:paraId="5376ADEF" w14:textId="77777777" w:rsidR="00087F50" w:rsidRPr="00866E4D" w:rsidRDefault="000F60A8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93.72</w:t>
            </w:r>
          </w:p>
        </w:tc>
        <w:tc>
          <w:tcPr>
            <w:tcW w:w="0" w:type="auto"/>
            <w:vAlign w:val="center"/>
          </w:tcPr>
          <w:p w14:paraId="0AFB94AD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70836512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12.07</w:t>
            </w:r>
          </w:p>
        </w:tc>
      </w:tr>
      <w:tr w:rsidR="00087F50" w:rsidRPr="00866E4D" w14:paraId="3DD5F8E1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75BCBBF2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64832B52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助教</w:t>
            </w:r>
          </w:p>
        </w:tc>
        <w:tc>
          <w:tcPr>
            <w:tcW w:w="0" w:type="auto"/>
            <w:vAlign w:val="center"/>
          </w:tcPr>
          <w:p w14:paraId="1721E519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0A5EB0AC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0.44</w:t>
            </w:r>
          </w:p>
        </w:tc>
        <w:tc>
          <w:tcPr>
            <w:tcW w:w="0" w:type="auto"/>
            <w:vAlign w:val="center"/>
          </w:tcPr>
          <w:p w14:paraId="6DAC7FFD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0DB6EE05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0.00</w:t>
            </w:r>
          </w:p>
        </w:tc>
      </w:tr>
      <w:tr w:rsidR="00087F50" w:rsidRPr="00866E4D" w14:paraId="14B6F591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54B99904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6F302104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其他正高级</w:t>
            </w:r>
          </w:p>
        </w:tc>
        <w:tc>
          <w:tcPr>
            <w:tcW w:w="0" w:type="auto"/>
            <w:vAlign w:val="center"/>
          </w:tcPr>
          <w:p w14:paraId="246F8C3E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6663EEAD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22C85FFB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14:paraId="7C16E0B2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22.41</w:t>
            </w:r>
          </w:p>
        </w:tc>
      </w:tr>
      <w:tr w:rsidR="00087F50" w:rsidRPr="00866E4D" w14:paraId="56E48A67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49F77A8A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3624E92F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其他副高级</w:t>
            </w:r>
          </w:p>
        </w:tc>
        <w:tc>
          <w:tcPr>
            <w:tcW w:w="0" w:type="auto"/>
            <w:vAlign w:val="center"/>
          </w:tcPr>
          <w:p w14:paraId="41127CE0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7D4D7E2E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</w:t>
            </w:r>
            <w:r w:rsidR="000F60A8" w:rsidRPr="00866E4D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0" w:type="auto"/>
            <w:vAlign w:val="center"/>
          </w:tcPr>
          <w:p w14:paraId="20EE9EA1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0" w:type="auto"/>
            <w:vAlign w:val="center"/>
          </w:tcPr>
          <w:p w14:paraId="7D4839F6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24.14</w:t>
            </w:r>
          </w:p>
        </w:tc>
      </w:tr>
      <w:tr w:rsidR="00087F50" w:rsidRPr="00866E4D" w14:paraId="2F682113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189E6AF6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107A152B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其他中级</w:t>
            </w:r>
          </w:p>
        </w:tc>
        <w:tc>
          <w:tcPr>
            <w:tcW w:w="0" w:type="auto"/>
            <w:vAlign w:val="center"/>
          </w:tcPr>
          <w:p w14:paraId="368AD622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745A315" w14:textId="77777777" w:rsidR="00087F50" w:rsidRPr="00866E4D" w:rsidRDefault="000F60A8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158E101C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060CAD7C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1.72</w:t>
            </w:r>
          </w:p>
        </w:tc>
      </w:tr>
      <w:tr w:rsidR="00087F50" w:rsidRPr="00866E4D" w14:paraId="4B544428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48C9A421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7AAA51BD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其他初级</w:t>
            </w:r>
          </w:p>
        </w:tc>
        <w:tc>
          <w:tcPr>
            <w:tcW w:w="0" w:type="auto"/>
            <w:vAlign w:val="center"/>
          </w:tcPr>
          <w:p w14:paraId="730EB1FF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15CF8B09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56159470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14EC610F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0.00</w:t>
            </w:r>
          </w:p>
        </w:tc>
      </w:tr>
      <w:tr w:rsidR="00087F50" w:rsidRPr="00866E4D" w14:paraId="1F4B7775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7AC785D9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5366D56F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未评级</w:t>
            </w:r>
          </w:p>
        </w:tc>
        <w:tc>
          <w:tcPr>
            <w:tcW w:w="0" w:type="auto"/>
            <w:vAlign w:val="center"/>
          </w:tcPr>
          <w:p w14:paraId="2B16EA0D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291DCFB0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77B55A0B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034C404D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0.00</w:t>
            </w:r>
          </w:p>
        </w:tc>
      </w:tr>
      <w:tr w:rsidR="00087F50" w:rsidRPr="00866E4D" w14:paraId="39142745" w14:textId="77777777" w:rsidTr="001A55E2">
        <w:trPr>
          <w:trHeight w:val="391"/>
          <w:jc w:val="center"/>
        </w:trPr>
        <w:tc>
          <w:tcPr>
            <w:tcW w:w="0" w:type="auto"/>
            <w:vMerge w:val="restart"/>
            <w:vAlign w:val="center"/>
          </w:tcPr>
          <w:p w14:paraId="2D3280CD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最高学位</w:t>
            </w:r>
          </w:p>
        </w:tc>
        <w:tc>
          <w:tcPr>
            <w:tcW w:w="0" w:type="auto"/>
            <w:gridSpan w:val="2"/>
            <w:vAlign w:val="center"/>
          </w:tcPr>
          <w:p w14:paraId="0583F2EC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博士</w:t>
            </w:r>
          </w:p>
        </w:tc>
        <w:tc>
          <w:tcPr>
            <w:tcW w:w="0" w:type="auto"/>
            <w:vAlign w:val="center"/>
          </w:tcPr>
          <w:p w14:paraId="320AEEEC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888</w:t>
            </w:r>
          </w:p>
        </w:tc>
        <w:tc>
          <w:tcPr>
            <w:tcW w:w="0" w:type="auto"/>
            <w:vAlign w:val="center"/>
          </w:tcPr>
          <w:p w14:paraId="687CAD7F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79.00</w:t>
            </w:r>
          </w:p>
        </w:tc>
        <w:tc>
          <w:tcPr>
            <w:tcW w:w="0" w:type="auto"/>
            <w:vAlign w:val="center"/>
          </w:tcPr>
          <w:p w14:paraId="1218D235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0" w:type="auto"/>
            <w:vAlign w:val="center"/>
          </w:tcPr>
          <w:p w14:paraId="5D44F266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62.07</w:t>
            </w:r>
          </w:p>
        </w:tc>
      </w:tr>
      <w:tr w:rsidR="00087F50" w:rsidRPr="00866E4D" w14:paraId="1113044B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55335157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2CC45731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硕士</w:t>
            </w:r>
          </w:p>
        </w:tc>
        <w:tc>
          <w:tcPr>
            <w:tcW w:w="0" w:type="auto"/>
            <w:vAlign w:val="center"/>
          </w:tcPr>
          <w:p w14:paraId="0351AB73" w14:textId="77777777" w:rsidR="00087F50" w:rsidRPr="00866E4D" w:rsidRDefault="000F60A8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185</w:t>
            </w:r>
          </w:p>
        </w:tc>
        <w:tc>
          <w:tcPr>
            <w:tcW w:w="0" w:type="auto"/>
            <w:vAlign w:val="center"/>
          </w:tcPr>
          <w:p w14:paraId="6F2B1A8A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16.46</w:t>
            </w:r>
          </w:p>
        </w:tc>
        <w:tc>
          <w:tcPr>
            <w:tcW w:w="0" w:type="auto"/>
            <w:vAlign w:val="center"/>
          </w:tcPr>
          <w:p w14:paraId="63A61014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14:paraId="74C3A80E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27.59</w:t>
            </w:r>
          </w:p>
        </w:tc>
      </w:tr>
      <w:tr w:rsidR="00087F50" w:rsidRPr="00866E4D" w14:paraId="3161A570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2198779B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71313E49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学士</w:t>
            </w:r>
          </w:p>
        </w:tc>
        <w:tc>
          <w:tcPr>
            <w:tcW w:w="0" w:type="auto"/>
            <w:vAlign w:val="center"/>
          </w:tcPr>
          <w:p w14:paraId="092F7394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51</w:t>
            </w:r>
          </w:p>
        </w:tc>
        <w:tc>
          <w:tcPr>
            <w:tcW w:w="0" w:type="auto"/>
            <w:vAlign w:val="center"/>
          </w:tcPr>
          <w:p w14:paraId="7C71AE62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4.54</w:t>
            </w:r>
          </w:p>
        </w:tc>
        <w:tc>
          <w:tcPr>
            <w:tcW w:w="0" w:type="auto"/>
            <w:vAlign w:val="center"/>
          </w:tcPr>
          <w:p w14:paraId="303BD998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14:paraId="03175698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10.34</w:t>
            </w:r>
          </w:p>
        </w:tc>
      </w:tr>
      <w:tr w:rsidR="00087F50" w:rsidRPr="00866E4D" w14:paraId="50222ECF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0A149794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5307C3BC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无学位</w:t>
            </w:r>
          </w:p>
        </w:tc>
        <w:tc>
          <w:tcPr>
            <w:tcW w:w="0" w:type="auto"/>
            <w:vAlign w:val="center"/>
          </w:tcPr>
          <w:p w14:paraId="6BECDB43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78A47C9E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0.00</w:t>
            </w:r>
          </w:p>
        </w:tc>
        <w:tc>
          <w:tcPr>
            <w:tcW w:w="0" w:type="auto"/>
            <w:vAlign w:val="center"/>
          </w:tcPr>
          <w:p w14:paraId="594DAD29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13F8F02A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0.00</w:t>
            </w:r>
          </w:p>
        </w:tc>
      </w:tr>
      <w:tr w:rsidR="00087F50" w:rsidRPr="00866E4D" w14:paraId="2FCC6DD8" w14:textId="77777777" w:rsidTr="001A55E2">
        <w:trPr>
          <w:trHeight w:val="391"/>
          <w:jc w:val="center"/>
        </w:trPr>
        <w:tc>
          <w:tcPr>
            <w:tcW w:w="0" w:type="auto"/>
            <w:vMerge w:val="restart"/>
            <w:vAlign w:val="center"/>
          </w:tcPr>
          <w:p w14:paraId="4A6A93D7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0" w:type="auto"/>
            <w:gridSpan w:val="2"/>
            <w:vAlign w:val="center"/>
          </w:tcPr>
          <w:p w14:paraId="75B6745F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35岁及以下</w:t>
            </w:r>
          </w:p>
        </w:tc>
        <w:tc>
          <w:tcPr>
            <w:tcW w:w="0" w:type="auto"/>
            <w:vAlign w:val="center"/>
          </w:tcPr>
          <w:p w14:paraId="739B5579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381</w:t>
            </w:r>
          </w:p>
        </w:tc>
        <w:tc>
          <w:tcPr>
            <w:tcW w:w="0" w:type="auto"/>
            <w:vAlign w:val="center"/>
          </w:tcPr>
          <w:p w14:paraId="292AF1A1" w14:textId="77777777" w:rsidR="000F60A8" w:rsidRPr="00866E4D" w:rsidRDefault="000F60A8" w:rsidP="000F60A8">
            <w:pPr>
              <w:jc w:val="center"/>
            </w:pPr>
            <w:r w:rsidRPr="00866E4D">
              <w:rPr>
                <w:rFonts w:hint="eastAsia"/>
              </w:rPr>
              <w:t>33.90</w:t>
            </w:r>
          </w:p>
        </w:tc>
        <w:tc>
          <w:tcPr>
            <w:tcW w:w="0" w:type="auto"/>
            <w:vAlign w:val="center"/>
          </w:tcPr>
          <w:p w14:paraId="6F846BE7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462C6285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12.07</w:t>
            </w:r>
          </w:p>
        </w:tc>
      </w:tr>
      <w:tr w:rsidR="00087F50" w:rsidRPr="00866E4D" w14:paraId="118BF2B2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509ED607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7885AD38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36-45岁</w:t>
            </w:r>
          </w:p>
        </w:tc>
        <w:tc>
          <w:tcPr>
            <w:tcW w:w="0" w:type="auto"/>
            <w:vAlign w:val="center"/>
          </w:tcPr>
          <w:p w14:paraId="3B534603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3</w:t>
            </w:r>
            <w:r w:rsidR="000F60A8" w:rsidRPr="00866E4D"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0" w:type="auto"/>
            <w:vAlign w:val="center"/>
          </w:tcPr>
          <w:p w14:paraId="04B1C6EC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3</w:t>
            </w:r>
            <w:r w:rsidR="000F60A8" w:rsidRPr="00866E4D">
              <w:rPr>
                <w:rFonts w:ascii="宋体" w:hAnsi="宋体" w:hint="eastAsia"/>
                <w:szCs w:val="21"/>
              </w:rPr>
              <w:t>2.92</w:t>
            </w:r>
          </w:p>
        </w:tc>
        <w:tc>
          <w:tcPr>
            <w:tcW w:w="0" w:type="auto"/>
            <w:vAlign w:val="center"/>
          </w:tcPr>
          <w:p w14:paraId="3328F971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14:paraId="45F6363F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22.41</w:t>
            </w:r>
          </w:p>
        </w:tc>
      </w:tr>
      <w:tr w:rsidR="00087F50" w:rsidRPr="00866E4D" w14:paraId="20ACD1A4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40EA480B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76DA9C5E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46-55岁</w:t>
            </w:r>
          </w:p>
        </w:tc>
        <w:tc>
          <w:tcPr>
            <w:tcW w:w="0" w:type="auto"/>
            <w:vAlign w:val="center"/>
          </w:tcPr>
          <w:p w14:paraId="3BADC234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2</w:t>
            </w:r>
            <w:r w:rsidR="000F60A8" w:rsidRPr="00866E4D"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0" w:type="auto"/>
            <w:vAlign w:val="center"/>
          </w:tcPr>
          <w:p w14:paraId="140008B4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24.02</w:t>
            </w:r>
          </w:p>
        </w:tc>
        <w:tc>
          <w:tcPr>
            <w:tcW w:w="0" w:type="auto"/>
            <w:vAlign w:val="center"/>
          </w:tcPr>
          <w:p w14:paraId="605AA3A0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14:paraId="104420D9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34.48</w:t>
            </w:r>
          </w:p>
        </w:tc>
      </w:tr>
      <w:tr w:rsidR="00087F50" w:rsidRPr="00866E4D" w14:paraId="14EB2EBC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20F34BE2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14:paraId="30B2E5A2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56岁及以上</w:t>
            </w:r>
          </w:p>
        </w:tc>
        <w:tc>
          <w:tcPr>
            <w:tcW w:w="0" w:type="auto"/>
            <w:vAlign w:val="center"/>
          </w:tcPr>
          <w:p w14:paraId="5A204B18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103</w:t>
            </w:r>
          </w:p>
        </w:tc>
        <w:tc>
          <w:tcPr>
            <w:tcW w:w="0" w:type="auto"/>
            <w:vAlign w:val="center"/>
          </w:tcPr>
          <w:p w14:paraId="23EDD05B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9.16</w:t>
            </w:r>
          </w:p>
        </w:tc>
        <w:tc>
          <w:tcPr>
            <w:tcW w:w="0" w:type="auto"/>
            <w:vAlign w:val="center"/>
          </w:tcPr>
          <w:p w14:paraId="755EF777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14:paraId="57488A36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31.03</w:t>
            </w:r>
          </w:p>
        </w:tc>
      </w:tr>
      <w:tr w:rsidR="00087F50" w:rsidRPr="00866E4D" w14:paraId="4E03C103" w14:textId="77777777" w:rsidTr="001A55E2">
        <w:trPr>
          <w:trHeight w:val="391"/>
          <w:jc w:val="center"/>
        </w:trPr>
        <w:tc>
          <w:tcPr>
            <w:tcW w:w="0" w:type="auto"/>
            <w:vMerge w:val="restart"/>
            <w:vAlign w:val="center"/>
          </w:tcPr>
          <w:p w14:paraId="1D6C921B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学缘</w:t>
            </w:r>
          </w:p>
        </w:tc>
        <w:tc>
          <w:tcPr>
            <w:tcW w:w="0" w:type="auto"/>
            <w:gridSpan w:val="2"/>
            <w:vAlign w:val="center"/>
          </w:tcPr>
          <w:p w14:paraId="692DC4F0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本校</w:t>
            </w:r>
          </w:p>
        </w:tc>
        <w:tc>
          <w:tcPr>
            <w:tcW w:w="0" w:type="auto"/>
            <w:vAlign w:val="center"/>
          </w:tcPr>
          <w:p w14:paraId="1BE90EB2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67</w:t>
            </w:r>
          </w:p>
        </w:tc>
        <w:tc>
          <w:tcPr>
            <w:tcW w:w="0" w:type="auto"/>
            <w:vAlign w:val="center"/>
          </w:tcPr>
          <w:p w14:paraId="56E57E88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5.96</w:t>
            </w:r>
          </w:p>
        </w:tc>
        <w:tc>
          <w:tcPr>
            <w:tcW w:w="0" w:type="auto"/>
            <w:vAlign w:val="center"/>
          </w:tcPr>
          <w:p w14:paraId="3D340644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0FE136E6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0.00</w:t>
            </w:r>
          </w:p>
        </w:tc>
      </w:tr>
      <w:tr w:rsidR="00087F50" w:rsidRPr="00866E4D" w14:paraId="0D18B29C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0110776C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6FC209DA" w14:textId="77777777" w:rsidR="00087F50" w:rsidRPr="00866E4D" w:rsidRDefault="00087F50" w:rsidP="005B05AF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外校</w:t>
            </w:r>
          </w:p>
        </w:tc>
        <w:tc>
          <w:tcPr>
            <w:tcW w:w="0" w:type="auto"/>
            <w:vAlign w:val="center"/>
          </w:tcPr>
          <w:p w14:paraId="0200E311" w14:textId="77777777" w:rsidR="00087F50" w:rsidRPr="00866E4D" w:rsidRDefault="00087F50" w:rsidP="005B05AF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境内</w:t>
            </w:r>
          </w:p>
        </w:tc>
        <w:tc>
          <w:tcPr>
            <w:tcW w:w="0" w:type="auto"/>
            <w:vAlign w:val="center"/>
          </w:tcPr>
          <w:p w14:paraId="7713AD5B" w14:textId="77777777" w:rsidR="00087F50" w:rsidRPr="00866E4D" w:rsidRDefault="000F60A8" w:rsidP="005B05AF">
            <w:pPr>
              <w:jc w:val="center"/>
            </w:pPr>
            <w:r w:rsidRPr="00866E4D">
              <w:rPr>
                <w:rFonts w:hint="eastAsia"/>
              </w:rPr>
              <w:t>849</w:t>
            </w:r>
          </w:p>
        </w:tc>
        <w:tc>
          <w:tcPr>
            <w:tcW w:w="0" w:type="auto"/>
            <w:vAlign w:val="center"/>
          </w:tcPr>
          <w:p w14:paraId="48EE8661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75.53</w:t>
            </w:r>
          </w:p>
        </w:tc>
        <w:tc>
          <w:tcPr>
            <w:tcW w:w="0" w:type="auto"/>
            <w:vAlign w:val="center"/>
          </w:tcPr>
          <w:p w14:paraId="01A60DA2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5A65C3E3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0.00</w:t>
            </w:r>
          </w:p>
        </w:tc>
      </w:tr>
      <w:tr w:rsidR="00087F50" w:rsidRPr="00866E4D" w14:paraId="5B43ECC0" w14:textId="77777777" w:rsidTr="001A55E2">
        <w:trPr>
          <w:trHeight w:val="391"/>
          <w:jc w:val="center"/>
        </w:trPr>
        <w:tc>
          <w:tcPr>
            <w:tcW w:w="0" w:type="auto"/>
            <w:vMerge/>
            <w:vAlign w:val="center"/>
          </w:tcPr>
          <w:p w14:paraId="0788D322" w14:textId="77777777" w:rsidR="00087F50" w:rsidRPr="00866E4D" w:rsidRDefault="00087F50" w:rsidP="001A55E2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7186544" w14:textId="77777777" w:rsidR="00087F50" w:rsidRPr="00866E4D" w:rsidRDefault="00087F50" w:rsidP="005B05AF">
            <w:pPr>
              <w:jc w:val="center"/>
            </w:pPr>
          </w:p>
        </w:tc>
        <w:tc>
          <w:tcPr>
            <w:tcW w:w="0" w:type="auto"/>
            <w:vAlign w:val="center"/>
          </w:tcPr>
          <w:p w14:paraId="6DF1B818" w14:textId="77777777" w:rsidR="00087F50" w:rsidRPr="00866E4D" w:rsidRDefault="00087F50" w:rsidP="005B05AF">
            <w:pPr>
              <w:jc w:val="center"/>
            </w:pPr>
            <w:r w:rsidRPr="00866E4D">
              <w:rPr>
                <w:rFonts w:ascii="宋体" w:hAnsi="宋体" w:hint="eastAsia"/>
                <w:b/>
                <w:szCs w:val="21"/>
              </w:rPr>
              <w:t>境外</w:t>
            </w:r>
          </w:p>
        </w:tc>
        <w:tc>
          <w:tcPr>
            <w:tcW w:w="0" w:type="auto"/>
            <w:vAlign w:val="center"/>
          </w:tcPr>
          <w:p w14:paraId="6D305B1D" w14:textId="77777777" w:rsidR="00087F50" w:rsidRPr="00866E4D" w:rsidRDefault="000F60A8" w:rsidP="005B05AF">
            <w:pPr>
              <w:jc w:val="center"/>
            </w:pPr>
            <w:r w:rsidRPr="00866E4D">
              <w:rPr>
                <w:rFonts w:hint="eastAsia"/>
              </w:rPr>
              <w:t>208</w:t>
            </w:r>
          </w:p>
        </w:tc>
        <w:tc>
          <w:tcPr>
            <w:tcW w:w="0" w:type="auto"/>
            <w:vAlign w:val="center"/>
          </w:tcPr>
          <w:p w14:paraId="7324650A" w14:textId="77777777" w:rsidR="00087F50" w:rsidRPr="00866E4D" w:rsidRDefault="000F60A8" w:rsidP="001A55E2">
            <w:pPr>
              <w:jc w:val="center"/>
            </w:pPr>
            <w:r w:rsidRPr="00866E4D">
              <w:rPr>
                <w:rFonts w:hint="eastAsia"/>
              </w:rPr>
              <w:t>18.51</w:t>
            </w:r>
          </w:p>
        </w:tc>
        <w:tc>
          <w:tcPr>
            <w:tcW w:w="0" w:type="auto"/>
            <w:vAlign w:val="center"/>
          </w:tcPr>
          <w:p w14:paraId="56451410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14:paraId="331F8527" w14:textId="77777777" w:rsidR="00087F50" w:rsidRPr="00866E4D" w:rsidRDefault="00087F50" w:rsidP="001A55E2">
            <w:pPr>
              <w:jc w:val="center"/>
            </w:pPr>
            <w:r w:rsidRPr="00866E4D">
              <w:rPr>
                <w:rFonts w:ascii="宋体" w:hAnsi="宋体" w:hint="eastAsia"/>
                <w:szCs w:val="21"/>
              </w:rPr>
              <w:t>0.00</w:t>
            </w:r>
          </w:p>
        </w:tc>
      </w:tr>
    </w:tbl>
    <w:p w14:paraId="57DE7BCF" w14:textId="637A9026" w:rsidR="00087F50" w:rsidRDefault="00087F50" w:rsidP="00087F50">
      <w:pPr>
        <w:jc w:val="left"/>
      </w:pPr>
      <w:r w:rsidRPr="00866E4D">
        <w:rPr>
          <w:rFonts w:ascii="仿宋_GB2312" w:eastAsia="仿宋_GB2312" w:hAnsi="仿宋_GB2312" w:hint="eastAsia"/>
          <w:szCs w:val="21"/>
        </w:rPr>
        <w:t>※以上数据来源：20</w:t>
      </w:r>
      <w:r w:rsidR="00364810">
        <w:rPr>
          <w:rFonts w:ascii="仿宋_GB2312" w:eastAsia="仿宋_GB2312" w:hAnsi="仿宋_GB2312"/>
          <w:szCs w:val="21"/>
        </w:rPr>
        <w:t>21</w:t>
      </w:r>
      <w:r w:rsidRPr="00866E4D">
        <w:rPr>
          <w:rFonts w:ascii="仿宋_GB2312" w:eastAsia="仿宋_GB2312" w:hAnsi="仿宋_GB2312" w:hint="eastAsia"/>
          <w:szCs w:val="21"/>
        </w:rPr>
        <w:t>年</w:t>
      </w:r>
      <w:r w:rsidR="00364810">
        <w:rPr>
          <w:rFonts w:ascii="仿宋_GB2312" w:eastAsia="仿宋_GB2312" w:hAnsi="仿宋_GB2312"/>
          <w:szCs w:val="21"/>
        </w:rPr>
        <w:t>12</w:t>
      </w:r>
      <w:r w:rsidRPr="00866E4D">
        <w:rPr>
          <w:rFonts w:ascii="仿宋_GB2312" w:eastAsia="仿宋_GB2312" w:hAnsi="仿宋_GB2312" w:hint="eastAsia"/>
          <w:szCs w:val="21"/>
        </w:rPr>
        <w:t>月北京工商大学审核评估数据分析报告。</w:t>
      </w:r>
    </w:p>
    <w:p w14:paraId="0D4089EC" w14:textId="77777777" w:rsidR="00087F50" w:rsidRDefault="00087F50" w:rsidP="00087F50">
      <w:pPr>
        <w:jc w:val="left"/>
      </w:pPr>
      <w:r>
        <w:rPr>
          <w:rFonts w:ascii="仿宋_GB2312" w:eastAsia="仿宋_GB2312" w:hAnsi="仿宋_GB2312" w:hint="eastAsia"/>
          <w:szCs w:val="21"/>
        </w:rPr>
        <w:t>【注】：</w:t>
      </w:r>
    </w:p>
    <w:p w14:paraId="7FF7CE6A" w14:textId="77777777" w:rsidR="00087F50" w:rsidRPr="00087F50" w:rsidRDefault="00087F50" w:rsidP="00122556">
      <w:pPr>
        <w:jc w:val="left"/>
      </w:pPr>
      <w:r>
        <w:rPr>
          <w:rFonts w:ascii="仿宋_GB2312" w:eastAsia="仿宋_GB2312" w:hAnsi="仿宋_GB2312" w:hint="eastAsia"/>
          <w:szCs w:val="21"/>
        </w:rPr>
        <w:lastRenderedPageBreak/>
        <w:t>1.“专任教师”指具有教师资格、专职从事教学工作的、只属于教学单位的人员。此处统计时不包括直属医院具有医师职称的医生。</w:t>
      </w:r>
    </w:p>
    <w:sectPr w:rsidR="00087F50" w:rsidRPr="00087F50" w:rsidSect="00AE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F30A" w14:textId="77777777" w:rsidR="007213B3" w:rsidRPr="003022C4" w:rsidRDefault="007213B3" w:rsidP="00352826">
      <w:pPr>
        <w:rPr>
          <w:rFonts w:ascii="Calibri" w:hAnsi="Calibri"/>
        </w:rPr>
      </w:pPr>
      <w:r>
        <w:separator/>
      </w:r>
    </w:p>
  </w:endnote>
  <w:endnote w:type="continuationSeparator" w:id="0">
    <w:p w14:paraId="3240B533" w14:textId="77777777" w:rsidR="007213B3" w:rsidRPr="003022C4" w:rsidRDefault="007213B3" w:rsidP="00352826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E596" w14:textId="77777777" w:rsidR="007213B3" w:rsidRPr="003022C4" w:rsidRDefault="007213B3" w:rsidP="00352826">
      <w:pPr>
        <w:rPr>
          <w:rFonts w:ascii="Calibri" w:hAnsi="Calibri"/>
        </w:rPr>
      </w:pPr>
      <w:r>
        <w:separator/>
      </w:r>
    </w:p>
  </w:footnote>
  <w:footnote w:type="continuationSeparator" w:id="0">
    <w:p w14:paraId="3DFD7F47" w14:textId="77777777" w:rsidR="007213B3" w:rsidRPr="003022C4" w:rsidRDefault="007213B3" w:rsidP="00352826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826"/>
    <w:rsid w:val="00003EE6"/>
    <w:rsid w:val="00004E91"/>
    <w:rsid w:val="000170FF"/>
    <w:rsid w:val="000205D2"/>
    <w:rsid w:val="00050374"/>
    <w:rsid w:val="00071417"/>
    <w:rsid w:val="00080E28"/>
    <w:rsid w:val="0008573E"/>
    <w:rsid w:val="00087F50"/>
    <w:rsid w:val="000917A8"/>
    <w:rsid w:val="000A4899"/>
    <w:rsid w:val="000B10D6"/>
    <w:rsid w:val="000C1061"/>
    <w:rsid w:val="000E5BCE"/>
    <w:rsid w:val="000F0103"/>
    <w:rsid w:val="000F502C"/>
    <w:rsid w:val="000F60A8"/>
    <w:rsid w:val="00100B3F"/>
    <w:rsid w:val="00103FF7"/>
    <w:rsid w:val="00106C0C"/>
    <w:rsid w:val="00121AEC"/>
    <w:rsid w:val="00122556"/>
    <w:rsid w:val="001455FE"/>
    <w:rsid w:val="00145C78"/>
    <w:rsid w:val="00160318"/>
    <w:rsid w:val="0018435D"/>
    <w:rsid w:val="00194305"/>
    <w:rsid w:val="001B09CC"/>
    <w:rsid w:val="001B13FC"/>
    <w:rsid w:val="001B4963"/>
    <w:rsid w:val="001B646D"/>
    <w:rsid w:val="001B70B0"/>
    <w:rsid w:val="001C06DE"/>
    <w:rsid w:val="001D510D"/>
    <w:rsid w:val="001D7FF2"/>
    <w:rsid w:val="001E2997"/>
    <w:rsid w:val="001F15FA"/>
    <w:rsid w:val="00200B39"/>
    <w:rsid w:val="002010DC"/>
    <w:rsid w:val="00204B15"/>
    <w:rsid w:val="00207513"/>
    <w:rsid w:val="00213B5E"/>
    <w:rsid w:val="00215D9E"/>
    <w:rsid w:val="0021795A"/>
    <w:rsid w:val="00232B56"/>
    <w:rsid w:val="00234DD1"/>
    <w:rsid w:val="00250EC3"/>
    <w:rsid w:val="00257E82"/>
    <w:rsid w:val="00281902"/>
    <w:rsid w:val="002858D1"/>
    <w:rsid w:val="0029570A"/>
    <w:rsid w:val="00297356"/>
    <w:rsid w:val="002A4E88"/>
    <w:rsid w:val="002A79A2"/>
    <w:rsid w:val="002D2811"/>
    <w:rsid w:val="002E3D2F"/>
    <w:rsid w:val="002F293F"/>
    <w:rsid w:val="002F3B64"/>
    <w:rsid w:val="002F7632"/>
    <w:rsid w:val="00300321"/>
    <w:rsid w:val="0030468F"/>
    <w:rsid w:val="00304A6A"/>
    <w:rsid w:val="003055AA"/>
    <w:rsid w:val="00305AF9"/>
    <w:rsid w:val="00306137"/>
    <w:rsid w:val="00307170"/>
    <w:rsid w:val="003211DA"/>
    <w:rsid w:val="00323C07"/>
    <w:rsid w:val="00327351"/>
    <w:rsid w:val="00327661"/>
    <w:rsid w:val="00346BE9"/>
    <w:rsid w:val="00352826"/>
    <w:rsid w:val="00353856"/>
    <w:rsid w:val="003569CB"/>
    <w:rsid w:val="00364810"/>
    <w:rsid w:val="00370AB0"/>
    <w:rsid w:val="00377C55"/>
    <w:rsid w:val="00383F0A"/>
    <w:rsid w:val="003905B8"/>
    <w:rsid w:val="003945E5"/>
    <w:rsid w:val="003A1D12"/>
    <w:rsid w:val="003A5E7D"/>
    <w:rsid w:val="003B3028"/>
    <w:rsid w:val="003C04A3"/>
    <w:rsid w:val="003C6AF7"/>
    <w:rsid w:val="003D26EF"/>
    <w:rsid w:val="003D42C7"/>
    <w:rsid w:val="003D6874"/>
    <w:rsid w:val="003E4BFB"/>
    <w:rsid w:val="003F2BAA"/>
    <w:rsid w:val="003F48B6"/>
    <w:rsid w:val="00402657"/>
    <w:rsid w:val="00403782"/>
    <w:rsid w:val="004151DD"/>
    <w:rsid w:val="004157FF"/>
    <w:rsid w:val="00416F27"/>
    <w:rsid w:val="00420B70"/>
    <w:rsid w:val="00425E09"/>
    <w:rsid w:val="00436314"/>
    <w:rsid w:val="00443E96"/>
    <w:rsid w:val="004553F1"/>
    <w:rsid w:val="004661B3"/>
    <w:rsid w:val="00466761"/>
    <w:rsid w:val="00470C56"/>
    <w:rsid w:val="00486683"/>
    <w:rsid w:val="00487D2E"/>
    <w:rsid w:val="00497AFD"/>
    <w:rsid w:val="004A2BA2"/>
    <w:rsid w:val="004B226A"/>
    <w:rsid w:val="004B2B07"/>
    <w:rsid w:val="004B38D9"/>
    <w:rsid w:val="004B6CEF"/>
    <w:rsid w:val="004C7728"/>
    <w:rsid w:val="004D0DA5"/>
    <w:rsid w:val="004D5CA9"/>
    <w:rsid w:val="004D7062"/>
    <w:rsid w:val="004E4231"/>
    <w:rsid w:val="004E4F8C"/>
    <w:rsid w:val="004E7543"/>
    <w:rsid w:val="004F2883"/>
    <w:rsid w:val="004F5597"/>
    <w:rsid w:val="00501DF2"/>
    <w:rsid w:val="00503825"/>
    <w:rsid w:val="0050605D"/>
    <w:rsid w:val="0051285C"/>
    <w:rsid w:val="0051348E"/>
    <w:rsid w:val="00515BE4"/>
    <w:rsid w:val="005237BF"/>
    <w:rsid w:val="00525EE9"/>
    <w:rsid w:val="0053779B"/>
    <w:rsid w:val="005436B1"/>
    <w:rsid w:val="0054735A"/>
    <w:rsid w:val="00550450"/>
    <w:rsid w:val="00550474"/>
    <w:rsid w:val="00556311"/>
    <w:rsid w:val="00563C59"/>
    <w:rsid w:val="00564DE8"/>
    <w:rsid w:val="00566B2D"/>
    <w:rsid w:val="005702F3"/>
    <w:rsid w:val="00580250"/>
    <w:rsid w:val="00583832"/>
    <w:rsid w:val="00583EDA"/>
    <w:rsid w:val="00587E26"/>
    <w:rsid w:val="005950C4"/>
    <w:rsid w:val="00596C33"/>
    <w:rsid w:val="005A0461"/>
    <w:rsid w:val="005A29C0"/>
    <w:rsid w:val="005A4076"/>
    <w:rsid w:val="005A650D"/>
    <w:rsid w:val="005B05AF"/>
    <w:rsid w:val="005B1E72"/>
    <w:rsid w:val="005C74E8"/>
    <w:rsid w:val="005E19FE"/>
    <w:rsid w:val="005E2669"/>
    <w:rsid w:val="005E7B70"/>
    <w:rsid w:val="005F59A6"/>
    <w:rsid w:val="005F637A"/>
    <w:rsid w:val="005F761F"/>
    <w:rsid w:val="00612557"/>
    <w:rsid w:val="00612DD4"/>
    <w:rsid w:val="00616D21"/>
    <w:rsid w:val="00631D18"/>
    <w:rsid w:val="00644038"/>
    <w:rsid w:val="00647742"/>
    <w:rsid w:val="00654204"/>
    <w:rsid w:val="00663244"/>
    <w:rsid w:val="00665AFB"/>
    <w:rsid w:val="00667EF3"/>
    <w:rsid w:val="0067378E"/>
    <w:rsid w:val="006803DA"/>
    <w:rsid w:val="00680C96"/>
    <w:rsid w:val="00690827"/>
    <w:rsid w:val="006B1D3E"/>
    <w:rsid w:val="006B4973"/>
    <w:rsid w:val="006C23FF"/>
    <w:rsid w:val="006C2F74"/>
    <w:rsid w:val="006D120C"/>
    <w:rsid w:val="006D70ED"/>
    <w:rsid w:val="006D7F11"/>
    <w:rsid w:val="006E0E9A"/>
    <w:rsid w:val="006E7D46"/>
    <w:rsid w:val="006F1C57"/>
    <w:rsid w:val="006F1D18"/>
    <w:rsid w:val="00702CF7"/>
    <w:rsid w:val="0070617C"/>
    <w:rsid w:val="00712E2B"/>
    <w:rsid w:val="00716956"/>
    <w:rsid w:val="0072093B"/>
    <w:rsid w:val="007213B3"/>
    <w:rsid w:val="00741BF3"/>
    <w:rsid w:val="00741BFF"/>
    <w:rsid w:val="007511F4"/>
    <w:rsid w:val="00751D48"/>
    <w:rsid w:val="00753B02"/>
    <w:rsid w:val="00755E70"/>
    <w:rsid w:val="00756D23"/>
    <w:rsid w:val="00762344"/>
    <w:rsid w:val="00763BE4"/>
    <w:rsid w:val="0076405F"/>
    <w:rsid w:val="007665F3"/>
    <w:rsid w:val="0076705B"/>
    <w:rsid w:val="00767B91"/>
    <w:rsid w:val="00785578"/>
    <w:rsid w:val="007866AC"/>
    <w:rsid w:val="00794491"/>
    <w:rsid w:val="007A172C"/>
    <w:rsid w:val="007A623B"/>
    <w:rsid w:val="007C3C1A"/>
    <w:rsid w:val="007C5524"/>
    <w:rsid w:val="007E143A"/>
    <w:rsid w:val="007E7BB6"/>
    <w:rsid w:val="007F09D2"/>
    <w:rsid w:val="007F1627"/>
    <w:rsid w:val="007F4D9E"/>
    <w:rsid w:val="007F55BD"/>
    <w:rsid w:val="0080459E"/>
    <w:rsid w:val="00806F4D"/>
    <w:rsid w:val="00807084"/>
    <w:rsid w:val="008079DB"/>
    <w:rsid w:val="00815BB2"/>
    <w:rsid w:val="00820088"/>
    <w:rsid w:val="008222F9"/>
    <w:rsid w:val="00827030"/>
    <w:rsid w:val="00827950"/>
    <w:rsid w:val="00827D1D"/>
    <w:rsid w:val="008326AC"/>
    <w:rsid w:val="00836306"/>
    <w:rsid w:val="00841A01"/>
    <w:rsid w:val="0084772A"/>
    <w:rsid w:val="0085291D"/>
    <w:rsid w:val="00865F4A"/>
    <w:rsid w:val="00866E4D"/>
    <w:rsid w:val="008673E8"/>
    <w:rsid w:val="008A5303"/>
    <w:rsid w:val="008A7370"/>
    <w:rsid w:val="008C0703"/>
    <w:rsid w:val="008C56B8"/>
    <w:rsid w:val="008C7BA0"/>
    <w:rsid w:val="008E5059"/>
    <w:rsid w:val="008F5140"/>
    <w:rsid w:val="00904093"/>
    <w:rsid w:val="009060FD"/>
    <w:rsid w:val="0091409C"/>
    <w:rsid w:val="00914E5F"/>
    <w:rsid w:val="00922401"/>
    <w:rsid w:val="009321ED"/>
    <w:rsid w:val="00943053"/>
    <w:rsid w:val="00952120"/>
    <w:rsid w:val="009610C3"/>
    <w:rsid w:val="00961883"/>
    <w:rsid w:val="00963FBF"/>
    <w:rsid w:val="0097270F"/>
    <w:rsid w:val="009776DF"/>
    <w:rsid w:val="009834BE"/>
    <w:rsid w:val="00986D62"/>
    <w:rsid w:val="009A3E3F"/>
    <w:rsid w:val="009B2FBB"/>
    <w:rsid w:val="009B5365"/>
    <w:rsid w:val="009C1F38"/>
    <w:rsid w:val="009C5B17"/>
    <w:rsid w:val="009C700B"/>
    <w:rsid w:val="009D634F"/>
    <w:rsid w:val="009F0DA2"/>
    <w:rsid w:val="009F6470"/>
    <w:rsid w:val="00A01D9F"/>
    <w:rsid w:val="00A05263"/>
    <w:rsid w:val="00A11402"/>
    <w:rsid w:val="00A13D2F"/>
    <w:rsid w:val="00A1416F"/>
    <w:rsid w:val="00A20CE3"/>
    <w:rsid w:val="00A21B9F"/>
    <w:rsid w:val="00A51765"/>
    <w:rsid w:val="00A53D4B"/>
    <w:rsid w:val="00A558D7"/>
    <w:rsid w:val="00A6527B"/>
    <w:rsid w:val="00A67F9C"/>
    <w:rsid w:val="00A70A2F"/>
    <w:rsid w:val="00A763B1"/>
    <w:rsid w:val="00A81B4F"/>
    <w:rsid w:val="00A9799E"/>
    <w:rsid w:val="00A97F41"/>
    <w:rsid w:val="00AB0901"/>
    <w:rsid w:val="00AB2943"/>
    <w:rsid w:val="00AD0D84"/>
    <w:rsid w:val="00AD2705"/>
    <w:rsid w:val="00AE1EFE"/>
    <w:rsid w:val="00AE604B"/>
    <w:rsid w:val="00B00991"/>
    <w:rsid w:val="00B1079E"/>
    <w:rsid w:val="00B148C7"/>
    <w:rsid w:val="00B17933"/>
    <w:rsid w:val="00B22AC5"/>
    <w:rsid w:val="00B25370"/>
    <w:rsid w:val="00B34272"/>
    <w:rsid w:val="00B4393C"/>
    <w:rsid w:val="00B50D87"/>
    <w:rsid w:val="00B54718"/>
    <w:rsid w:val="00B54A8D"/>
    <w:rsid w:val="00B61FD7"/>
    <w:rsid w:val="00B620B1"/>
    <w:rsid w:val="00B62D4D"/>
    <w:rsid w:val="00B7219B"/>
    <w:rsid w:val="00B755D2"/>
    <w:rsid w:val="00B77C58"/>
    <w:rsid w:val="00B82C3F"/>
    <w:rsid w:val="00B84A87"/>
    <w:rsid w:val="00B86D2B"/>
    <w:rsid w:val="00B912CD"/>
    <w:rsid w:val="00B95F39"/>
    <w:rsid w:val="00BA0682"/>
    <w:rsid w:val="00BA6468"/>
    <w:rsid w:val="00BB01F2"/>
    <w:rsid w:val="00BB2EC8"/>
    <w:rsid w:val="00BB4D76"/>
    <w:rsid w:val="00BB575C"/>
    <w:rsid w:val="00BB6444"/>
    <w:rsid w:val="00BB7670"/>
    <w:rsid w:val="00BC75E7"/>
    <w:rsid w:val="00BD24BC"/>
    <w:rsid w:val="00BE03E9"/>
    <w:rsid w:val="00BE3044"/>
    <w:rsid w:val="00BE47E0"/>
    <w:rsid w:val="00BE57F7"/>
    <w:rsid w:val="00BF56D4"/>
    <w:rsid w:val="00BF610D"/>
    <w:rsid w:val="00BF7BB4"/>
    <w:rsid w:val="00C23693"/>
    <w:rsid w:val="00C365DD"/>
    <w:rsid w:val="00C41258"/>
    <w:rsid w:val="00C42B77"/>
    <w:rsid w:val="00C62A97"/>
    <w:rsid w:val="00C71660"/>
    <w:rsid w:val="00C72862"/>
    <w:rsid w:val="00C735B0"/>
    <w:rsid w:val="00C73F74"/>
    <w:rsid w:val="00C77F53"/>
    <w:rsid w:val="00C806F5"/>
    <w:rsid w:val="00C811E8"/>
    <w:rsid w:val="00C829E1"/>
    <w:rsid w:val="00C838AA"/>
    <w:rsid w:val="00C86A5C"/>
    <w:rsid w:val="00C87627"/>
    <w:rsid w:val="00C94283"/>
    <w:rsid w:val="00C94991"/>
    <w:rsid w:val="00CB10DD"/>
    <w:rsid w:val="00CB30D3"/>
    <w:rsid w:val="00CB7797"/>
    <w:rsid w:val="00CC3702"/>
    <w:rsid w:val="00CC6904"/>
    <w:rsid w:val="00CD0D35"/>
    <w:rsid w:val="00CE450A"/>
    <w:rsid w:val="00CF5D3F"/>
    <w:rsid w:val="00D06030"/>
    <w:rsid w:val="00D17760"/>
    <w:rsid w:val="00D20F48"/>
    <w:rsid w:val="00D248C9"/>
    <w:rsid w:val="00D26020"/>
    <w:rsid w:val="00D40C52"/>
    <w:rsid w:val="00D51488"/>
    <w:rsid w:val="00D52A89"/>
    <w:rsid w:val="00D54039"/>
    <w:rsid w:val="00D5754A"/>
    <w:rsid w:val="00D62417"/>
    <w:rsid w:val="00D7002A"/>
    <w:rsid w:val="00D71AF5"/>
    <w:rsid w:val="00D72D91"/>
    <w:rsid w:val="00D86FEE"/>
    <w:rsid w:val="00D92293"/>
    <w:rsid w:val="00DA6E15"/>
    <w:rsid w:val="00DB0F6F"/>
    <w:rsid w:val="00DB1928"/>
    <w:rsid w:val="00DC2402"/>
    <w:rsid w:val="00DC46E8"/>
    <w:rsid w:val="00DC5472"/>
    <w:rsid w:val="00DD091B"/>
    <w:rsid w:val="00DD1419"/>
    <w:rsid w:val="00DD23B8"/>
    <w:rsid w:val="00DE2D01"/>
    <w:rsid w:val="00DE6E89"/>
    <w:rsid w:val="00DF03D1"/>
    <w:rsid w:val="00DF65D7"/>
    <w:rsid w:val="00E142EC"/>
    <w:rsid w:val="00E1570F"/>
    <w:rsid w:val="00E1709D"/>
    <w:rsid w:val="00E3457A"/>
    <w:rsid w:val="00E35203"/>
    <w:rsid w:val="00E41921"/>
    <w:rsid w:val="00E42704"/>
    <w:rsid w:val="00E55732"/>
    <w:rsid w:val="00E56E62"/>
    <w:rsid w:val="00E64705"/>
    <w:rsid w:val="00E64870"/>
    <w:rsid w:val="00E74F79"/>
    <w:rsid w:val="00E7567E"/>
    <w:rsid w:val="00E76733"/>
    <w:rsid w:val="00E8035C"/>
    <w:rsid w:val="00E821B3"/>
    <w:rsid w:val="00E856A0"/>
    <w:rsid w:val="00E92595"/>
    <w:rsid w:val="00E970C3"/>
    <w:rsid w:val="00EA1E00"/>
    <w:rsid w:val="00EB13E7"/>
    <w:rsid w:val="00EC0EEF"/>
    <w:rsid w:val="00EC4FAF"/>
    <w:rsid w:val="00EC512D"/>
    <w:rsid w:val="00EC6F49"/>
    <w:rsid w:val="00EC7308"/>
    <w:rsid w:val="00ED6BFA"/>
    <w:rsid w:val="00ED7009"/>
    <w:rsid w:val="00EE1333"/>
    <w:rsid w:val="00EF1473"/>
    <w:rsid w:val="00F011EB"/>
    <w:rsid w:val="00F04BBC"/>
    <w:rsid w:val="00F06D76"/>
    <w:rsid w:val="00F15E52"/>
    <w:rsid w:val="00F3426E"/>
    <w:rsid w:val="00F3695B"/>
    <w:rsid w:val="00F40C4D"/>
    <w:rsid w:val="00F45BB8"/>
    <w:rsid w:val="00F554E4"/>
    <w:rsid w:val="00F624E2"/>
    <w:rsid w:val="00F62DCA"/>
    <w:rsid w:val="00F63257"/>
    <w:rsid w:val="00F73669"/>
    <w:rsid w:val="00F82B2B"/>
    <w:rsid w:val="00F83C1B"/>
    <w:rsid w:val="00FA0801"/>
    <w:rsid w:val="00FA1F75"/>
    <w:rsid w:val="00FA63A1"/>
    <w:rsid w:val="00FA7370"/>
    <w:rsid w:val="00FC2A53"/>
    <w:rsid w:val="00FC3F55"/>
    <w:rsid w:val="00FD2110"/>
    <w:rsid w:val="00FD6563"/>
    <w:rsid w:val="00FE464C"/>
    <w:rsid w:val="00FF22C8"/>
    <w:rsid w:val="00FF3950"/>
    <w:rsid w:val="00FF4A58"/>
    <w:rsid w:val="00FF61B0"/>
    <w:rsid w:val="00FF68D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246FC"/>
  <w15:docId w15:val="{4CECEF67-D127-4156-BD1A-06CB8D5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8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87F50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8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8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82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5282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2826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352826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352826"/>
    <w:rPr>
      <w:rFonts w:ascii="宋体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87F50"/>
    <w:rPr>
      <w:b/>
      <w:bCs/>
      <w:sz w:val="32"/>
      <w:szCs w:val="32"/>
    </w:rPr>
  </w:style>
  <w:style w:type="table" w:styleId="ab">
    <w:name w:val="Table Grid"/>
    <w:basedOn w:val="a1"/>
    <w:uiPriority w:val="59"/>
    <w:rsid w:val="00087F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yu\Desktop\&#26032;&#24314;%20Microsoft%20Excel%20&#24037;&#20316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yu\Desktop\&#26032;&#24314;%20Microsoft%20Excel%20&#24037;&#20316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yu\Desktop\&#26032;&#24314;%20Microsoft%20Excel%20&#24037;&#20316;&#3492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yu\Desktop\&#26032;&#24314;%20Microsoft%20Excel%20&#24037;&#20316;&#3492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D75-4342-85E8-B369F14F63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D75-4342-85E8-B369F14F63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D75-4342-85E8-B369F14F63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D75-4342-85E8-B369F14F634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6AB1D45-9050-4B61-848A-DCD85D02116D}" type="PERCENTAGE">
                      <a:rPr lang="en-US" altLang="zh-CN" baseline="0"/>
                      <a:pPr/>
                      <a:t>[百分比]</a:t>
                    </a:fld>
                    <a:endParaRPr lang="zh-CN" alt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D75-4342-85E8-B369F14F634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50DD679-DD7B-4E97-8B53-805F5037B844}" type="PERCENTAGE">
                      <a:rPr lang="en-US" altLang="zh-CN" baseline="0"/>
                      <a:pPr/>
                      <a:t>[百分比]</a:t>
                    </a:fld>
                    <a:endParaRPr lang="zh-CN" alt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D75-4342-85E8-B369F14F634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FB893D3-D587-4AA2-9989-1B0B16CF6327}" type="PERCENTAGE">
                      <a:rPr lang="en-US" altLang="zh-CN" baseline="0"/>
                      <a:pPr/>
                      <a:t>[百分比]</a:t>
                    </a:fld>
                    <a:endParaRPr lang="zh-CN" alt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D75-4342-85E8-B369F14F634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E20F35D0-F1D2-4531-B687-14F0842409CF}" type="PERCENTAGE">
                      <a:rPr lang="en-US" altLang="zh-CN" baseline="0"/>
                      <a:pPr/>
                      <a:t>[百分比]</a:t>
                    </a:fld>
                    <a:endParaRPr lang="zh-CN" alt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D75-4342-85E8-B369F14F634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Sheet1!$A$1:$A$4</c:f>
              <c:strCache>
                <c:ptCount val="4"/>
                <c:pt idx="0">
                  <c:v>35岁及以下</c:v>
                </c:pt>
                <c:pt idx="1">
                  <c:v>36-45岁</c:v>
                </c:pt>
                <c:pt idx="2">
                  <c:v>46-55岁</c:v>
                </c:pt>
                <c:pt idx="3">
                  <c:v>56岁及以上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381</c:v>
                </c:pt>
                <c:pt idx="1">
                  <c:v>370</c:v>
                </c:pt>
                <c:pt idx="2">
                  <c:v>270</c:v>
                </c:pt>
                <c:pt idx="3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D75-4342-85E8-B369F14F6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981736657917756"/>
          <c:y val="0.86166360977416723"/>
          <c:w val="0.64647615923009638"/>
          <c:h val="0.1138340891960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790-4843-A63C-63832CE988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790-4843-A63C-63832CE988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790-4843-A63C-63832CE988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790-4843-A63C-63832CE9889D}"/>
              </c:ext>
            </c:extLst>
          </c:dPt>
          <c:dLbls>
            <c:dLbl>
              <c:idx val="0"/>
              <c:layout>
                <c:manualLayout>
                  <c:x val="3.8888888888888785E-2"/>
                  <c:y val="-1.388888888888888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90-4843-A63C-63832CE9889D}"/>
                </c:ext>
              </c:extLst>
            </c:dLbl>
            <c:dLbl>
              <c:idx val="2"/>
              <c:layout>
                <c:manualLayout>
                  <c:x val="-4.4444444444444446E-2"/>
                  <c:y val="-2.1218890680033321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90-4843-A63C-63832CE9889D}"/>
                </c:ext>
              </c:extLst>
            </c:dLbl>
            <c:dLbl>
              <c:idx val="3"/>
              <c:layout>
                <c:manualLayout>
                  <c:x val="-7.2222222222222174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790-4843-A63C-63832CE988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Sheet2!$A$1:$A$4</c:f>
              <c:strCache>
                <c:ptCount val="4"/>
                <c:pt idx="0">
                  <c:v>正高</c:v>
                </c:pt>
                <c:pt idx="1">
                  <c:v>副高</c:v>
                </c:pt>
                <c:pt idx="2">
                  <c:v>中级</c:v>
                </c:pt>
                <c:pt idx="3">
                  <c:v>初级</c:v>
                </c:pt>
              </c:strCache>
            </c:strRef>
          </c:cat>
          <c:val>
            <c:numRef>
              <c:f>Sheet2!$B$1:$B$4</c:f>
              <c:numCache>
                <c:formatCode>General</c:formatCode>
                <c:ptCount val="4"/>
                <c:pt idx="0">
                  <c:v>219</c:v>
                </c:pt>
                <c:pt idx="1">
                  <c:v>521</c:v>
                </c:pt>
                <c:pt idx="2">
                  <c:v>379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90-4843-A63C-63832CE98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D1C-4CEE-9AFD-C65B527373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D1C-4CEE-9AFD-C65B527373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D1C-4CEE-9AFD-C65B527373D1}"/>
              </c:ext>
            </c:extLst>
          </c:dPt>
          <c:dLbls>
            <c:dLbl>
              <c:idx val="1"/>
              <c:layout>
                <c:manualLayout>
                  <c:x val="-8.0555555555555575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1C-4CEE-9AFD-C65B527373D1}"/>
                </c:ext>
              </c:extLst>
            </c:dLbl>
            <c:dLbl>
              <c:idx val="2"/>
              <c:layout>
                <c:manualLayout>
                  <c:x val="0.11032963084937565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1C-4CEE-9AFD-C65B527373D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Sheet3!$A$1:$A$3</c:f>
              <c:strCache>
                <c:ptCount val="3"/>
                <c:pt idx="0">
                  <c:v>博士</c:v>
                </c:pt>
                <c:pt idx="1">
                  <c:v>硕士</c:v>
                </c:pt>
                <c:pt idx="2">
                  <c:v>学士</c:v>
                </c:pt>
              </c:strCache>
            </c:strRef>
          </c:cat>
          <c:val>
            <c:numRef>
              <c:f>Sheet3!$B$1:$B$3</c:f>
              <c:numCache>
                <c:formatCode>General</c:formatCode>
                <c:ptCount val="3"/>
                <c:pt idx="0">
                  <c:v>888</c:v>
                </c:pt>
                <c:pt idx="1">
                  <c:v>185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1C-4CEE-9AFD-C65B52737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5CD-46E5-9E63-F5A149B1DB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5CD-46E5-9E63-F5A149B1DB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5CD-46E5-9E63-F5A149B1DB18}"/>
              </c:ext>
            </c:extLst>
          </c:dPt>
          <c:dLbls>
            <c:dLbl>
              <c:idx val="1"/>
              <c:layout>
                <c:manualLayout>
                  <c:x val="8.4379921259842519E-2"/>
                  <c:y val="-6.06707494896471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CD-46E5-9E63-F5A149B1DB1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Sheet4!$A$1:$A$3</c:f>
              <c:strCache>
                <c:ptCount val="3"/>
                <c:pt idx="0">
                  <c:v>本校</c:v>
                </c:pt>
                <c:pt idx="1">
                  <c:v>外校（境内）</c:v>
                </c:pt>
                <c:pt idx="2">
                  <c:v>外校（境外）</c:v>
                </c:pt>
              </c:strCache>
            </c:strRef>
          </c:cat>
          <c:val>
            <c:numRef>
              <c:f>Sheet4!$B$1:$B$3</c:f>
              <c:numCache>
                <c:formatCode>General</c:formatCode>
                <c:ptCount val="3"/>
                <c:pt idx="0">
                  <c:v>67</c:v>
                </c:pt>
                <c:pt idx="1">
                  <c:v>849</c:v>
                </c:pt>
                <c:pt idx="2">
                  <c:v>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CD-46E5-9E63-F5A149B1DB18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li haozhe</cp:lastModifiedBy>
  <cp:revision>29</cp:revision>
  <dcterms:created xsi:type="dcterms:W3CDTF">2018-11-13T04:05:00Z</dcterms:created>
  <dcterms:modified xsi:type="dcterms:W3CDTF">2021-12-23T08:32:00Z</dcterms:modified>
</cp:coreProperties>
</file>