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85351">
      <w:pPr>
        <w:spacing w:line="680" w:lineRule="exact"/>
        <w:jc w:val="center"/>
        <w:rPr>
          <w:rFonts w:ascii="宋体" w:hAnsi="宋体"/>
          <w:sz w:val="32"/>
          <w:szCs w:val="20"/>
        </w:rPr>
      </w:pPr>
    </w:p>
    <w:p w14:paraId="2DE0F284">
      <w:pPr>
        <w:spacing w:line="680" w:lineRule="exact"/>
        <w:jc w:val="center"/>
        <w:rPr>
          <w:rFonts w:ascii="宋体" w:hAnsi="宋体"/>
          <w:sz w:val="32"/>
          <w:szCs w:val="20"/>
        </w:rPr>
      </w:pPr>
    </w:p>
    <w:p w14:paraId="29C4833E">
      <w:pPr>
        <w:spacing w:line="680" w:lineRule="exact"/>
        <w:jc w:val="center"/>
        <w:rPr>
          <w:rFonts w:ascii="宋体" w:hAnsi="宋体"/>
          <w:sz w:val="32"/>
          <w:szCs w:val="20"/>
        </w:rPr>
      </w:pPr>
    </w:p>
    <w:p w14:paraId="72EBAF2F">
      <w:pPr>
        <w:spacing w:line="680" w:lineRule="exact"/>
        <w:rPr>
          <w:rFonts w:ascii="宋体" w:hAnsi="宋体"/>
          <w:sz w:val="32"/>
          <w:szCs w:val="20"/>
        </w:rPr>
      </w:pPr>
    </w:p>
    <w:p w14:paraId="56AC9579">
      <w:pPr>
        <w:spacing w:line="680" w:lineRule="exact"/>
        <w:rPr>
          <w:rFonts w:ascii="宋体" w:hAnsi="宋体"/>
          <w:sz w:val="32"/>
          <w:szCs w:val="20"/>
        </w:rPr>
      </w:pPr>
    </w:p>
    <w:p w14:paraId="30E01367">
      <w:pPr>
        <w:spacing w:line="680" w:lineRule="exact"/>
        <w:jc w:val="center"/>
        <w:rPr>
          <w:rFonts w:ascii="宋体" w:hAnsi="宋体"/>
          <w:sz w:val="32"/>
          <w:szCs w:val="20"/>
        </w:rPr>
      </w:pPr>
    </w:p>
    <w:p w14:paraId="1F55301C">
      <w:pPr>
        <w:jc w:val="center"/>
        <w:rPr>
          <w:rFonts w:ascii="仿宋_GB2312" w:hAnsi="宋体" w:eastAsia="仿宋_GB2312"/>
          <w:sz w:val="32"/>
          <w:szCs w:val="20"/>
        </w:rPr>
      </w:pPr>
      <w:r>
        <w:rPr>
          <w:rFonts w:hint="eastAsia" w:ascii="仿宋_GB2312" w:hAnsi="宋体" w:eastAsia="仿宋_GB2312"/>
          <w:sz w:val="32"/>
          <w:szCs w:val="32"/>
        </w:rPr>
        <w:t>北工商校发</w:t>
      </w:r>
      <w:r>
        <w:rPr>
          <w:rFonts w:hint="eastAsia" w:ascii="仿宋_GB2312" w:hAnsi="仿宋_GB2312" w:eastAsia="仿宋_GB2312"/>
          <w:sz w:val="32"/>
          <w:szCs w:val="32"/>
        </w:rPr>
        <w:t>〔2021〕</w:t>
      </w:r>
      <w:r>
        <w:rPr>
          <w:rFonts w:ascii="仿宋_GB2312" w:hAnsi="仿宋_GB2312" w:eastAsia="仿宋_GB2312"/>
          <w:sz w:val="32"/>
          <w:szCs w:val="32"/>
        </w:rPr>
        <w:t>55</w:t>
      </w:r>
      <w:r>
        <w:rPr>
          <w:rFonts w:hint="eastAsia" w:ascii="仿宋_GB2312" w:hAnsi="仿宋_GB2312" w:eastAsia="仿宋_GB2312"/>
          <w:sz w:val="32"/>
          <w:szCs w:val="32"/>
        </w:rPr>
        <w:t>号</w:t>
      </w:r>
    </w:p>
    <w:p w14:paraId="222365E9">
      <w:pPr>
        <w:spacing w:line="340" w:lineRule="exact"/>
        <w:jc w:val="center"/>
        <w:rPr>
          <w:rFonts w:ascii="宋体" w:hAnsi="宋体"/>
          <w:sz w:val="28"/>
          <w:szCs w:val="20"/>
        </w:rPr>
      </w:pPr>
    </w:p>
    <w:p w14:paraId="430956EA">
      <w:pPr>
        <w:spacing w:line="340" w:lineRule="exact"/>
        <w:jc w:val="center"/>
        <w:rPr>
          <w:rFonts w:ascii="宋体" w:hAnsi="宋体"/>
          <w:sz w:val="28"/>
          <w:szCs w:val="20"/>
        </w:rPr>
      </w:pPr>
    </w:p>
    <w:p w14:paraId="7A20CCAE">
      <w:pPr>
        <w:spacing w:line="560" w:lineRule="exact"/>
        <w:jc w:val="center"/>
        <w:rPr>
          <w:rFonts w:ascii="方正小标宋简体" w:hAnsi="黑体" w:eastAsia="方正小标宋简体"/>
          <w:sz w:val="44"/>
          <w:szCs w:val="32"/>
        </w:rPr>
      </w:pPr>
      <w:r>
        <w:rPr>
          <w:rFonts w:hint="eastAsia" w:ascii="方正小标宋简体" w:hAnsi="黑体" w:eastAsia="方正小标宋简体"/>
          <w:sz w:val="44"/>
          <w:szCs w:val="32"/>
        </w:rPr>
        <w:t>关于印发《</w:t>
      </w:r>
      <w:bookmarkStart w:id="10" w:name="_GoBack"/>
      <w:r>
        <w:rPr>
          <w:rFonts w:hint="eastAsia" w:ascii="方正小标宋简体" w:hAnsi="黑体" w:eastAsia="方正小标宋简体"/>
          <w:sz w:val="44"/>
          <w:szCs w:val="32"/>
        </w:rPr>
        <w:t>北京工商大学本科生</w:t>
      </w:r>
    </w:p>
    <w:p w14:paraId="58581C7C">
      <w:pPr>
        <w:spacing w:line="560" w:lineRule="exact"/>
        <w:jc w:val="center"/>
        <w:rPr>
          <w:rFonts w:ascii="方正小标宋简体" w:hAnsi="黑体" w:eastAsia="方正小标宋简体"/>
          <w:sz w:val="44"/>
          <w:szCs w:val="32"/>
        </w:rPr>
      </w:pPr>
      <w:r>
        <w:rPr>
          <w:rFonts w:hint="eastAsia" w:ascii="方正小标宋简体" w:hAnsi="黑体" w:eastAsia="方正小标宋简体"/>
          <w:sz w:val="44"/>
          <w:szCs w:val="32"/>
        </w:rPr>
        <w:t>学籍管理规定</w:t>
      </w:r>
      <w:bookmarkEnd w:id="10"/>
      <w:r>
        <w:rPr>
          <w:rFonts w:hint="eastAsia" w:ascii="方正小标宋简体" w:hAnsi="黑体" w:eastAsia="方正小标宋简体"/>
          <w:sz w:val="44"/>
          <w:szCs w:val="32"/>
        </w:rPr>
        <w:t>》的通知</w:t>
      </w:r>
    </w:p>
    <w:p w14:paraId="474993D8">
      <w:pPr>
        <w:spacing w:line="620" w:lineRule="exact"/>
        <w:jc w:val="center"/>
        <w:rPr>
          <w:rFonts w:ascii="方正小标宋简体" w:hAnsi="黑体" w:eastAsia="方正小标宋简体"/>
          <w:sz w:val="40"/>
          <w:szCs w:val="32"/>
        </w:rPr>
      </w:pPr>
    </w:p>
    <w:p w14:paraId="6CB9944A">
      <w:pPr>
        <w:spacing w:line="560" w:lineRule="exact"/>
        <w:rPr>
          <w:rFonts w:hint="eastAsia" w:ascii="楷体" w:hAnsi="楷体" w:eastAsia="楷体"/>
          <w:sz w:val="32"/>
          <w:szCs w:val="32"/>
        </w:rPr>
      </w:pPr>
      <w:r>
        <w:rPr>
          <w:rFonts w:hint="eastAsia" w:ascii="楷体" w:hAnsi="楷体" w:eastAsia="楷体"/>
          <w:sz w:val="32"/>
          <w:szCs w:val="32"/>
        </w:rPr>
        <w:t>各单位：</w:t>
      </w:r>
    </w:p>
    <w:p w14:paraId="267ADE62">
      <w:pPr>
        <w:autoSpaceDE w:val="0"/>
        <w:autoSpaceDN w:val="0"/>
        <w:adjustRightInd w:val="0"/>
        <w:spacing w:before="227" w:after="227" w:line="560" w:lineRule="exact"/>
        <w:jc w:val="left"/>
        <w:outlineLvl w:val="1"/>
        <w:rPr>
          <w:rFonts w:hint="eastAsia" w:ascii="楷体" w:hAnsi="楷体" w:eastAsia="楷体" w:cs="方正小标宋简体"/>
          <w:kern w:val="0"/>
          <w:sz w:val="32"/>
          <w:szCs w:val="32"/>
          <w:lang w:val="zh-CN"/>
        </w:rPr>
      </w:pPr>
      <w:r>
        <w:rPr>
          <w:rFonts w:hint="eastAsia" w:ascii="楷体" w:hAnsi="楷体" w:eastAsia="楷体"/>
          <w:color w:val="000000"/>
          <w:kern w:val="0"/>
          <w:sz w:val="32"/>
          <w:szCs w:val="32"/>
          <w:lang w:val="zh-CN"/>
        </w:rPr>
        <w:t xml:space="preserve">    现将《</w:t>
      </w:r>
      <w:r>
        <w:rPr>
          <w:rFonts w:hint="eastAsia" w:ascii="楷体" w:hAnsi="楷体" w:eastAsia="楷体" w:cs="方正小标宋简体"/>
          <w:kern w:val="0"/>
          <w:sz w:val="32"/>
          <w:szCs w:val="32"/>
          <w:lang w:val="zh-CN"/>
        </w:rPr>
        <w:t>北京工商大学本科生学籍管理规定</w:t>
      </w:r>
      <w:r>
        <w:rPr>
          <w:rFonts w:hint="eastAsia" w:ascii="楷体" w:hAnsi="楷体" w:eastAsia="楷体"/>
          <w:color w:val="000000"/>
          <w:kern w:val="0"/>
          <w:sz w:val="32"/>
          <w:szCs w:val="32"/>
          <w:lang w:val="zh-CN"/>
        </w:rPr>
        <w:t>》印发给你们，请认真学习并遵照执行。</w:t>
      </w:r>
    </w:p>
    <w:p w14:paraId="52B2270C">
      <w:pPr>
        <w:spacing w:line="620" w:lineRule="exact"/>
        <w:rPr>
          <w:rFonts w:hint="eastAsia" w:ascii="楷体" w:hAnsi="楷体" w:eastAsia="楷体"/>
          <w:sz w:val="30"/>
          <w:szCs w:val="30"/>
        </w:rPr>
      </w:pPr>
    </w:p>
    <w:p w14:paraId="1790E236">
      <w:pPr>
        <w:spacing w:line="620" w:lineRule="exact"/>
        <w:rPr>
          <w:rFonts w:hint="eastAsia" w:ascii="楷体" w:hAnsi="楷体" w:eastAsia="楷体"/>
          <w:sz w:val="30"/>
          <w:szCs w:val="30"/>
        </w:rPr>
      </w:pPr>
    </w:p>
    <w:p w14:paraId="2C42E5D8">
      <w:pPr>
        <w:spacing w:line="560" w:lineRule="exact"/>
        <w:ind w:firstLine="4640" w:firstLineChars="1450"/>
        <w:rPr>
          <w:rFonts w:hint="eastAsia" w:ascii="楷体" w:hAnsi="楷体" w:eastAsia="楷体"/>
          <w:sz w:val="32"/>
          <w:szCs w:val="32"/>
        </w:rPr>
      </w:pPr>
      <w:r>
        <w:rPr>
          <w:rFonts w:hint="eastAsia" w:ascii="楷体" w:hAnsi="楷体" w:eastAsia="楷体"/>
          <w:sz w:val="32"/>
          <w:szCs w:val="32"/>
        </w:rPr>
        <w:t>北京工商大学</w:t>
      </w:r>
    </w:p>
    <w:p w14:paraId="1D785A1A">
      <w:pPr>
        <w:spacing w:line="560" w:lineRule="exact"/>
        <w:ind w:firstLine="4480" w:firstLineChars="1400"/>
        <w:rPr>
          <w:rFonts w:hint="eastAsia" w:ascii="楷体" w:hAnsi="楷体" w:eastAsia="楷体"/>
          <w:sz w:val="32"/>
          <w:szCs w:val="32"/>
        </w:rPr>
      </w:pPr>
      <w:r>
        <w:rPr>
          <w:rFonts w:hint="eastAsia" w:ascii="楷体" w:hAnsi="楷体" w:eastAsia="楷体"/>
          <w:sz w:val="32"/>
          <w:szCs w:val="32"/>
        </w:rPr>
        <w:t>2021年7月23日</w:t>
      </w:r>
    </w:p>
    <w:p w14:paraId="2D2547A0">
      <w:pPr>
        <w:spacing w:line="560" w:lineRule="exact"/>
        <w:jc w:val="center"/>
        <w:rPr>
          <w:rFonts w:ascii="楷体" w:hAnsi="楷体" w:eastAsia="楷体"/>
          <w:sz w:val="40"/>
          <w:szCs w:val="32"/>
        </w:rPr>
      </w:pPr>
    </w:p>
    <w:p w14:paraId="5FB4A783">
      <w:pPr>
        <w:pStyle w:val="7"/>
        <w:spacing w:line="560" w:lineRule="exact"/>
        <w:rPr>
          <w:rFonts w:ascii="方正小标宋简体" w:hAnsi="微软雅黑" w:eastAsia="方正小标宋简体" w:cs="微软雅黑"/>
          <w:kern w:val="0"/>
          <w:sz w:val="44"/>
          <w:szCs w:val="36"/>
        </w:rPr>
      </w:pPr>
    </w:p>
    <w:p w14:paraId="0112CBA9">
      <w:pPr>
        <w:pStyle w:val="7"/>
        <w:spacing w:line="560" w:lineRule="exact"/>
        <w:jc w:val="center"/>
        <w:rPr>
          <w:rFonts w:ascii="方正小标宋简体" w:hAnsi="微软雅黑" w:eastAsia="方正小标宋简体" w:cs="微软雅黑"/>
          <w:kern w:val="0"/>
          <w:sz w:val="40"/>
          <w:szCs w:val="32"/>
          <w:lang w:val="zh-CN"/>
        </w:rPr>
      </w:pPr>
    </w:p>
    <w:p w14:paraId="308B400E">
      <w:pPr>
        <w:pStyle w:val="7"/>
        <w:spacing w:line="560" w:lineRule="exact"/>
        <w:jc w:val="center"/>
        <w:rPr>
          <w:rFonts w:ascii="方正小标宋简体" w:hAnsi="微软雅黑" w:eastAsia="方正小标宋简体" w:cs="微软雅黑"/>
          <w:kern w:val="0"/>
          <w:sz w:val="40"/>
          <w:szCs w:val="32"/>
          <w:lang w:val="zh-CN"/>
        </w:rPr>
      </w:pPr>
      <w:r>
        <w:rPr>
          <w:rFonts w:hint="eastAsia" w:ascii="方正小标宋简体" w:hAnsi="微软雅黑" w:eastAsia="方正小标宋简体" w:cs="微软雅黑"/>
          <w:kern w:val="0"/>
          <w:sz w:val="40"/>
          <w:szCs w:val="32"/>
          <w:lang w:val="zh-CN"/>
        </w:rPr>
        <w:t>北京工商大学本科生学籍管理规定</w:t>
      </w:r>
    </w:p>
    <w:p w14:paraId="69252F67">
      <w:pPr>
        <w:autoSpaceDE w:val="0"/>
        <w:autoSpaceDN w:val="0"/>
        <w:adjustRightInd w:val="0"/>
        <w:spacing w:line="560" w:lineRule="exact"/>
        <w:jc w:val="center"/>
        <w:rPr>
          <w:rFonts w:ascii="仿宋" w:hAnsi="仿宋" w:eastAsia="仿宋" w:cs="仿宋"/>
          <w:kern w:val="0"/>
          <w:sz w:val="32"/>
          <w:szCs w:val="32"/>
          <w:lang w:val="zh-CN"/>
        </w:rPr>
      </w:pPr>
    </w:p>
    <w:p w14:paraId="529865D9">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第一章   总  则</w:t>
      </w:r>
    </w:p>
    <w:p w14:paraId="3B881118">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第一条</w:t>
      </w:r>
      <w:r>
        <w:rPr>
          <w:rFonts w:hint="eastAsia" w:ascii="仿宋" w:hAnsi="仿宋" w:eastAsia="仿宋" w:cs="仿宋"/>
          <w:kern w:val="0"/>
          <w:sz w:val="32"/>
          <w:szCs w:val="32"/>
          <w:lang w:val="zh-CN"/>
        </w:rPr>
        <w:t xml:space="preserve">  为贯彻国家教育方针，维护学校正常教学秩序，保障学生合法权益，提高人才培养质量，根据《中华人民共和国教育法》、《中华人民共和国高等教育法》、《普通高等学校学生管理规定》（教育部令第41号）等法律法规及相关规定，结合我校实际情况，制定本规定。</w:t>
      </w:r>
    </w:p>
    <w:p w14:paraId="6E04A8B2">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bCs/>
          <w:kern w:val="0"/>
          <w:sz w:val="32"/>
          <w:szCs w:val="32"/>
          <w:lang w:val="zh-CN"/>
        </w:rPr>
        <w:t>第二条</w:t>
      </w:r>
      <w:r>
        <w:rPr>
          <w:rFonts w:hint="eastAsia" w:ascii="仿宋" w:hAnsi="仿宋" w:eastAsia="仿宋" w:cs="仿宋"/>
          <w:kern w:val="0"/>
          <w:sz w:val="32"/>
          <w:szCs w:val="32"/>
          <w:lang w:val="zh-CN"/>
        </w:rPr>
        <w:t xml:space="preserve">  本规定适用于具有北京工商大学普通高等学历教育正式学籍，并接受学校普通高等学历教育管理的全日制本科生。</w:t>
      </w:r>
    </w:p>
    <w:p w14:paraId="43C8B2D8">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第二章  入学、注册与学籍</w:t>
      </w:r>
    </w:p>
    <w:p w14:paraId="0581DDD1">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第三条　</w:t>
      </w:r>
      <w:r>
        <w:rPr>
          <w:rFonts w:hint="eastAsia" w:ascii="仿宋" w:hAnsi="仿宋" w:eastAsia="仿宋" w:cs="仿宋"/>
          <w:kern w:val="0"/>
          <w:sz w:val="32"/>
          <w:szCs w:val="32"/>
          <w:lang w:val="zh-CN"/>
        </w:rPr>
        <w:t>凡参加普通高等学校招生全国统一考试并由学校按国家招生规定录取的新生，须持学校签发的《北京工商大学录取通知书》和其他有关证件，按学校有关要求在规定的期限内报到及办理入学手续，并按规定缴费。</w:t>
      </w:r>
    </w:p>
    <w:p w14:paraId="62274A21">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因故不能按期报到入学的新生，应提前以书面形式向所在学院请假，请假一般不能超过两周。未请假、请假未被批准或请假逾期的，除因不可抗力等正当事由外，视为新生放弃入学资格。</w:t>
      </w:r>
    </w:p>
    <w:p w14:paraId="1853BE77">
      <w:pPr>
        <w:autoSpaceDE w:val="0"/>
        <w:autoSpaceDN w:val="0"/>
        <w:adjustRightInd w:val="0"/>
        <w:spacing w:line="560" w:lineRule="exact"/>
        <w:ind w:firstLine="643" w:firstLineChars="200"/>
        <w:rPr>
          <w:rFonts w:ascii="仿宋" w:hAnsi="仿宋" w:eastAsia="仿宋" w:cs="仿宋"/>
          <w:b/>
          <w:bCs/>
          <w:kern w:val="0"/>
          <w:sz w:val="32"/>
          <w:szCs w:val="32"/>
          <w:lang w:val="zh-CN"/>
        </w:rPr>
      </w:pPr>
      <w:r>
        <w:rPr>
          <w:rFonts w:hint="eastAsia" w:ascii="仿宋" w:hAnsi="仿宋" w:eastAsia="仿宋" w:cs="仿宋"/>
          <w:b/>
          <w:bCs/>
          <w:kern w:val="0"/>
          <w:sz w:val="32"/>
          <w:szCs w:val="32"/>
        </w:rPr>
        <w:t>第四条</w:t>
      </w:r>
      <w:r>
        <w:rPr>
          <w:rFonts w:hint="eastAsia" w:ascii="仿宋" w:hAnsi="仿宋" w:eastAsia="仿宋" w:cs="仿宋"/>
          <w:kern w:val="0"/>
          <w:sz w:val="32"/>
          <w:szCs w:val="32"/>
          <w:lang w:val="zh-CN"/>
        </w:rPr>
        <w:t>　学校将在新生报到时对新生入学资格进行初步审查，审查合格且入校手续完备的，予以注册，取得学校学籍。审查发现新生的录取通知书、考生信息等证明材料，与本人实际情况不符，或者有其他违反国家招生考试规定情形的，取消入学资格。</w:t>
      </w:r>
    </w:p>
    <w:p w14:paraId="5FBE92FA">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rPr>
        <w:t>第五条</w:t>
      </w:r>
      <w:r>
        <w:rPr>
          <w:rFonts w:hint="eastAsia" w:ascii="仿宋" w:hAnsi="仿宋" w:eastAsia="仿宋" w:cs="仿宋"/>
          <w:bCs/>
          <w:kern w:val="0"/>
          <w:sz w:val="32"/>
          <w:szCs w:val="32"/>
          <w:lang w:val="zh-CN"/>
        </w:rPr>
        <w:t>　</w:t>
      </w:r>
      <w:r>
        <w:rPr>
          <w:rFonts w:hint="eastAsia" w:ascii="仿宋" w:hAnsi="仿宋" w:eastAsia="仿宋" w:cs="仿宋"/>
          <w:kern w:val="0"/>
          <w:sz w:val="32"/>
          <w:szCs w:val="32"/>
          <w:lang w:val="zh-CN"/>
        </w:rPr>
        <w:t>新生有下列情况之一的，可以申请其保留入学资格：</w:t>
      </w:r>
    </w:p>
    <w:p w14:paraId="2D19600E">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（一）因伤或因病，经学校指定的二级甲等以上医院诊断不宜在校学习的；</w:t>
      </w:r>
    </w:p>
    <w:p w14:paraId="4186CDC1">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（二）应征参加中国人民解放军（含中国人民武装警察部队）的；</w:t>
      </w:r>
    </w:p>
    <w:p w14:paraId="6B9048B1">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（三）因其他原因，本人申请保留入学资格经学校批准的。</w:t>
      </w:r>
    </w:p>
    <w:p w14:paraId="19419781">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第六条　</w:t>
      </w:r>
      <w:r>
        <w:rPr>
          <w:rFonts w:hint="eastAsia" w:ascii="仿宋" w:hAnsi="仿宋" w:eastAsia="仿宋" w:cs="仿宋"/>
          <w:kern w:val="0"/>
          <w:sz w:val="32"/>
          <w:szCs w:val="32"/>
          <w:lang w:val="zh-CN"/>
        </w:rPr>
        <w:t>新生保留入学资格，应提前以书面形式向所在学院申请，并附相关有效的证明材料，由所在学院提出意见，报教务处批准后办理保留入学资格手续。保留入学资格的期限一般为1年。保留入学资格申请被批准后，申请人应在10日内到教务处办理离校手续。</w:t>
      </w:r>
    </w:p>
    <w:p w14:paraId="045DE43E">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新生应征参加中国人民解放军（含中国人民武装警察部队）而保留入学资格的，学校可为其保留入学资格至退役后2年。</w:t>
      </w:r>
    </w:p>
    <w:p w14:paraId="2109D0BA">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rPr>
        <w:t>第七条</w:t>
      </w:r>
      <w:r>
        <w:rPr>
          <w:rFonts w:hint="eastAsia" w:ascii="仿宋" w:hAnsi="仿宋" w:eastAsia="仿宋" w:cs="仿宋"/>
          <w:kern w:val="0"/>
          <w:sz w:val="32"/>
          <w:szCs w:val="32"/>
        </w:rPr>
        <w:t xml:space="preserve">  新生</w:t>
      </w:r>
      <w:r>
        <w:rPr>
          <w:rFonts w:hint="eastAsia" w:ascii="仿宋" w:hAnsi="仿宋" w:eastAsia="仿宋" w:cs="仿宋"/>
          <w:kern w:val="0"/>
          <w:sz w:val="32"/>
          <w:szCs w:val="32"/>
          <w:lang w:val="zh-CN"/>
        </w:rPr>
        <w:t>保留入学资格的，应于要申请入学的当年的</w:t>
      </w:r>
      <w:r>
        <w:rPr>
          <w:rFonts w:hint="eastAsia" w:ascii="仿宋" w:hAnsi="仿宋" w:eastAsia="仿宋" w:cs="仿宋"/>
          <w:kern w:val="0"/>
          <w:sz w:val="32"/>
          <w:szCs w:val="32"/>
        </w:rPr>
        <w:t>9</w:t>
      </w:r>
      <w:r>
        <w:rPr>
          <w:rFonts w:hint="eastAsia" w:ascii="仿宋" w:hAnsi="仿宋" w:eastAsia="仿宋" w:cs="仿宋"/>
          <w:kern w:val="0"/>
          <w:sz w:val="32"/>
          <w:szCs w:val="32"/>
          <w:lang w:val="zh-CN"/>
        </w:rPr>
        <w:t>月份向录取学院提出书面入学申请，经所在学院审查同意，报教务处批准后，在规定的期限内按当年新生条件办理入学手续。审查不合格的，取消其入学资格；逾期不申请或不办理入学手续，且未有因不可抗力延迟等正当理由的，视为放弃入学资格。</w:t>
      </w:r>
    </w:p>
    <w:p w14:paraId="10993DE0">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因伤或因病保留入学资格的，在保留入学资格期间内经治疗康复，可以向学校申请入学，经学校指定二级甲等以上医院诊断复查，符合体检要求，经学校复查合格后，方可重新办理入学手续。复查不合格的，取消入学资格；逾期不办理入学手续的，视为放弃入学资格。  </w:t>
      </w:r>
    </w:p>
    <w:p w14:paraId="61E766BB">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第八条　</w:t>
      </w:r>
      <w:r>
        <w:rPr>
          <w:rFonts w:hint="eastAsia" w:ascii="仿宋" w:hAnsi="仿宋" w:eastAsia="仿宋" w:cs="仿宋"/>
          <w:kern w:val="0"/>
          <w:sz w:val="32"/>
          <w:szCs w:val="32"/>
          <w:lang w:val="zh-CN"/>
        </w:rPr>
        <w:t>新生保留入学资格期间暂不予注册、不具有学籍，不享受在校生或休学学生待遇。</w:t>
      </w:r>
    </w:p>
    <w:p w14:paraId="055D0228">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第九条</w:t>
      </w:r>
      <w:r>
        <w:rPr>
          <w:rFonts w:hint="eastAsia" w:ascii="仿宋" w:hAnsi="仿宋" w:eastAsia="仿宋" w:cs="仿宋"/>
          <w:kern w:val="0"/>
          <w:sz w:val="32"/>
          <w:szCs w:val="32"/>
          <w:lang w:val="zh-CN"/>
        </w:rPr>
        <w:t>　学生入学后，学校在3个月内按照国家招生规定对其进行复查。复查内容主要包括以下方面：</w:t>
      </w:r>
    </w:p>
    <w:p w14:paraId="5C28736C">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（一）录取手续及程序等是否合乎国家招生规定；</w:t>
      </w:r>
    </w:p>
    <w:p w14:paraId="16E0ED99">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（二）所获得的录取资格是否真实、合乎相关规定；</w:t>
      </w:r>
    </w:p>
    <w:p w14:paraId="4E07C79F">
      <w:pPr>
        <w:autoSpaceDE w:val="0"/>
        <w:autoSpaceDN w:val="0"/>
        <w:adjustRightInd w:val="0"/>
        <w:spacing w:line="560" w:lineRule="exact"/>
        <w:ind w:firstLine="640" w:firstLineChars="200"/>
        <w:rPr>
          <w:rFonts w:ascii="仿宋" w:hAnsi="仿宋" w:eastAsia="仿宋" w:cs="仿宋"/>
          <w:spacing w:val="-20"/>
          <w:kern w:val="0"/>
          <w:sz w:val="32"/>
          <w:szCs w:val="32"/>
          <w:lang w:val="zh-CN"/>
        </w:rPr>
      </w:pPr>
      <w:r>
        <w:rPr>
          <w:rFonts w:hint="eastAsia" w:ascii="仿宋" w:hAnsi="仿宋" w:eastAsia="仿宋" w:cs="仿宋"/>
          <w:kern w:val="0"/>
          <w:sz w:val="32"/>
          <w:szCs w:val="32"/>
          <w:lang w:val="zh-CN"/>
        </w:rPr>
        <w:t>（三）</w:t>
      </w:r>
      <w:r>
        <w:rPr>
          <w:rFonts w:hint="eastAsia" w:ascii="仿宋" w:hAnsi="仿宋" w:eastAsia="仿宋" w:cs="仿宋"/>
          <w:spacing w:val="-20"/>
          <w:kern w:val="0"/>
          <w:sz w:val="32"/>
          <w:szCs w:val="32"/>
          <w:lang w:val="zh-CN"/>
        </w:rPr>
        <w:t>本人及身份证明与录取通知书、考生档案等是否一致；</w:t>
      </w:r>
    </w:p>
    <w:p w14:paraId="1B81EBB7">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（四）身心健康状况是否符合报考专业或者专业类别体检要求，能否保证在校正常学习、生活；</w:t>
      </w:r>
    </w:p>
    <w:p w14:paraId="623C93DC">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（五）艺术、体育等特殊类型录取学生的专业水平是否符合录取要求。</w:t>
      </w:r>
    </w:p>
    <w:p w14:paraId="49014A98">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第十条　</w:t>
      </w:r>
      <w:r>
        <w:rPr>
          <w:rFonts w:hint="eastAsia" w:ascii="仿宋" w:hAnsi="仿宋" w:eastAsia="仿宋" w:cs="仿宋"/>
          <w:kern w:val="0"/>
          <w:sz w:val="32"/>
          <w:szCs w:val="32"/>
          <w:lang w:val="zh-CN"/>
        </w:rPr>
        <w:t>学生所在学院应按照学校相关规定要求，复查、核对学生本人及身份证明与录取通知书、考生档案等是否一致。学院配合学校心理素质教育中心、校医院共同对学生的身心健康状况是否符合报考专业或者专业类别的体检要求，以及能否保证在校正常学习、生活等情况进行复查。</w:t>
      </w:r>
    </w:p>
    <w:p w14:paraId="519783BB">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复查中发现学生存在弄虚作假、徇私舞弊等情形的，确定为复查不合格，即取消其入学资格或学籍，档案由学校退回其家庭所在地，户口按照国家相关规定迁回原户籍地或者家庭户籍所在地。情节严重的，学校将移交有关部门调查处理。</w:t>
      </w:r>
    </w:p>
    <w:p w14:paraId="3CA586F5">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 xml:space="preserve">复查中发现学生身心状况不适宜在校学习，经学校指定的二级甲等以上医院诊断，需要在家休养的，可以按照本规定第五条至第八条的规定保留入学资格。 </w:t>
      </w:r>
    </w:p>
    <w:p w14:paraId="35373FAB">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第十一条</w:t>
      </w:r>
      <w:r>
        <w:rPr>
          <w:rFonts w:hint="eastAsia" w:ascii="仿宋" w:hAnsi="仿宋" w:eastAsia="仿宋" w:cs="仿宋"/>
          <w:kern w:val="0"/>
          <w:sz w:val="32"/>
          <w:szCs w:val="32"/>
          <w:lang w:val="zh-CN"/>
        </w:rPr>
        <w:t xml:space="preserve">  已取得学籍的在校学生（含延期毕业学生）应于每学期开学时，按学校规定的时间到所在学院办理报到注册手续，由学院在《学生证》上加盖 “注册”印章后，方可取得该学期学习资格。</w:t>
      </w:r>
    </w:p>
    <w:p w14:paraId="239254B8">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学生应在每学年开学初，按学校规定的所学专业的学费标准，缴纳一学年学费后方可注册。未按学校规定缴纳学费的，或有其他不符合注册条件的，不予注册。不予注册的学生，不能参加学校组织的各种教育教学活动，不能享受各种补助及参与评定奖学金。无故逾期两周仍未缴费和注册的，视为放弃其学籍，按退学处理。</w:t>
      </w:r>
    </w:p>
    <w:p w14:paraId="3FC8E944">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家庭经济困难的学生，按照国家和学校有关规定申请助学贷款或其他形式的资助，办理助学贷款或其他资助手续后，方可注册。</w:t>
      </w:r>
    </w:p>
    <w:p w14:paraId="19A9A80D">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第十二条</w:t>
      </w:r>
      <w:r>
        <w:rPr>
          <w:rFonts w:hint="eastAsia" w:ascii="仿宋" w:hAnsi="仿宋" w:eastAsia="仿宋" w:cs="仿宋"/>
          <w:kern w:val="0"/>
          <w:sz w:val="32"/>
          <w:szCs w:val="32"/>
          <w:lang w:val="zh-CN"/>
        </w:rPr>
        <w:t xml:space="preserve">  学生注册手续不得由他人代办。因故不能按时办理注册手续的，应提出书面申请，经所在学院同意，报教务处批准后，可暂缓办理注册手续。未申请、申请未批准或申请期满后仍未注册的，按旷课处理，并给予其公告警示，公告警示后两周内仍未注册的，视为放弃其学籍，按退学处理。</w:t>
      </w:r>
    </w:p>
    <w:p w14:paraId="1CA0C61A">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第十三条</w:t>
      </w:r>
      <w:r>
        <w:rPr>
          <w:rFonts w:hint="eastAsia" w:ascii="仿宋" w:hAnsi="仿宋" w:eastAsia="仿宋" w:cs="仿宋"/>
          <w:kern w:val="0"/>
          <w:sz w:val="32"/>
          <w:szCs w:val="32"/>
          <w:lang w:val="zh-CN"/>
        </w:rPr>
        <w:t xml:space="preserve">  学生违反国家法律法规及学校规章制度被开除学籍的，由校长办公会或者校长授权的专门会议研究决定。具体按照《北京工商大学学生违纪处分规定》和</w:t>
      </w:r>
      <w:bookmarkStart w:id="0" w:name="_Hlk488687377"/>
      <w:r>
        <w:rPr>
          <w:rFonts w:hint="eastAsia" w:ascii="仿宋" w:hAnsi="仿宋" w:eastAsia="仿宋" w:cs="仿宋"/>
          <w:kern w:val="0"/>
          <w:sz w:val="32"/>
          <w:szCs w:val="32"/>
          <w:lang w:val="zh-CN"/>
        </w:rPr>
        <w:t>《北京工商大学关于学生违纪处分程序的若干规定》</w:t>
      </w:r>
      <w:bookmarkEnd w:id="0"/>
      <w:r>
        <w:rPr>
          <w:rFonts w:hint="eastAsia" w:ascii="仿宋" w:hAnsi="仿宋" w:eastAsia="仿宋" w:cs="仿宋"/>
          <w:kern w:val="0"/>
          <w:sz w:val="32"/>
          <w:szCs w:val="32"/>
          <w:lang w:val="zh-CN"/>
        </w:rPr>
        <w:t>执行。</w:t>
      </w:r>
    </w:p>
    <w:p w14:paraId="5EDCA2F1">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被开除学籍的学生，可由学校发给写实性学习证明。学生须按学校规定办理离校手续并按期限离校，档案由学校退回家庭所在地，户口按照国家相关规定迁回原户籍或者家庭户籍所在地。</w:t>
      </w:r>
    </w:p>
    <w:p w14:paraId="5163ED0A">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第三章  学制与学习年限</w:t>
      </w:r>
    </w:p>
    <w:p w14:paraId="01896B48">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第十四条</w:t>
      </w:r>
      <w:r>
        <w:rPr>
          <w:rFonts w:hint="eastAsia" w:ascii="仿宋" w:hAnsi="仿宋" w:eastAsia="仿宋" w:cs="仿宋"/>
          <w:kern w:val="0"/>
          <w:sz w:val="32"/>
          <w:szCs w:val="32"/>
          <w:lang w:val="zh-CN"/>
        </w:rPr>
        <w:t xml:space="preserve">  学校普通全日制本科学历教育阶段各专业按照教育部的规定设置四年标准学制，实行每学年两学期制，并依此标准制定教学计划，学生一般应在标准学制年限内完成学业。</w:t>
      </w:r>
    </w:p>
    <w:p w14:paraId="0FE56A0C">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第十五条</w:t>
      </w:r>
      <w:r>
        <w:rPr>
          <w:rFonts w:hint="eastAsia" w:ascii="仿宋" w:hAnsi="仿宋" w:eastAsia="仿宋" w:cs="仿宋"/>
          <w:kern w:val="0"/>
          <w:sz w:val="32"/>
          <w:szCs w:val="32"/>
          <w:lang w:val="zh-CN"/>
        </w:rPr>
        <w:t xml:space="preserve">  学生在校学习期间实行弹性学习年限。学生</w:t>
      </w:r>
      <w:r>
        <w:rPr>
          <w:rFonts w:hint="eastAsia" w:ascii="仿宋" w:hAnsi="仿宋" w:eastAsia="仿宋" w:cs="仿宋"/>
          <w:kern w:val="0"/>
          <w:sz w:val="32"/>
          <w:szCs w:val="32"/>
        </w:rPr>
        <w:t>申请并取得毕业、学位证书需在</w:t>
      </w:r>
      <w:r>
        <w:rPr>
          <w:rFonts w:hint="eastAsia" w:ascii="仿宋" w:hAnsi="仿宋" w:eastAsia="仿宋" w:cs="仿宋"/>
          <w:kern w:val="0"/>
          <w:sz w:val="32"/>
          <w:szCs w:val="32"/>
          <w:lang w:val="zh-CN"/>
        </w:rPr>
        <w:t>3年（</w:t>
      </w:r>
      <w:r>
        <w:rPr>
          <w:rFonts w:hint="eastAsia" w:ascii="仿宋" w:hAnsi="仿宋" w:eastAsia="仿宋" w:cs="仿宋"/>
          <w:kern w:val="0"/>
          <w:sz w:val="32"/>
          <w:szCs w:val="32"/>
        </w:rPr>
        <w:t>含</w:t>
      </w:r>
      <w:r>
        <w:rPr>
          <w:rFonts w:hint="eastAsia" w:ascii="仿宋" w:hAnsi="仿宋" w:eastAsia="仿宋" w:cs="仿宋"/>
          <w:kern w:val="0"/>
          <w:sz w:val="32"/>
          <w:szCs w:val="32"/>
          <w:lang w:val="zh-CN"/>
        </w:rPr>
        <w:t>）</w:t>
      </w:r>
      <w:r>
        <w:rPr>
          <w:rFonts w:hint="eastAsia" w:ascii="仿宋" w:hAnsi="仿宋" w:eastAsia="仿宋" w:cs="仿宋"/>
          <w:kern w:val="0"/>
          <w:sz w:val="32"/>
          <w:szCs w:val="32"/>
        </w:rPr>
        <w:t>至</w:t>
      </w:r>
      <w:r>
        <w:rPr>
          <w:rFonts w:hint="eastAsia" w:ascii="仿宋" w:hAnsi="仿宋" w:eastAsia="仿宋" w:cs="仿宋"/>
          <w:kern w:val="0"/>
          <w:sz w:val="32"/>
          <w:szCs w:val="32"/>
          <w:lang w:val="zh-CN"/>
        </w:rPr>
        <w:t>6年</w:t>
      </w:r>
      <w:r>
        <w:rPr>
          <w:rFonts w:hint="eastAsia" w:ascii="仿宋" w:hAnsi="仿宋" w:eastAsia="仿宋" w:cs="仿宋"/>
          <w:kern w:val="0"/>
          <w:sz w:val="32"/>
          <w:szCs w:val="32"/>
        </w:rPr>
        <w:t>的学习年限内</w:t>
      </w:r>
      <w:r>
        <w:rPr>
          <w:rFonts w:hint="eastAsia" w:ascii="仿宋" w:hAnsi="仿宋" w:eastAsia="仿宋" w:cs="仿宋"/>
          <w:kern w:val="0"/>
          <w:sz w:val="32"/>
          <w:szCs w:val="32"/>
          <w:lang w:val="zh-CN"/>
        </w:rPr>
        <w:t>。</w:t>
      </w:r>
      <w:r>
        <w:rPr>
          <w:rFonts w:hint="eastAsia" w:ascii="仿宋" w:hAnsi="仿宋" w:eastAsia="仿宋" w:cs="仿宋"/>
          <w:kern w:val="0"/>
          <w:sz w:val="32"/>
          <w:szCs w:val="32"/>
        </w:rPr>
        <w:t>学习年限从学生入学当年9月份起开始计算。</w:t>
      </w:r>
      <w:r>
        <w:rPr>
          <w:rFonts w:hint="eastAsia" w:ascii="仿宋" w:hAnsi="仿宋" w:eastAsia="仿宋" w:cs="仿宋"/>
          <w:kern w:val="0"/>
          <w:sz w:val="32"/>
          <w:szCs w:val="32"/>
          <w:lang w:val="zh-CN"/>
        </w:rPr>
        <w:t>学生休学创业或应征参加中国人民解放军（含中国人民武装警察部队）的，其学习年限最长不得超过8年。休学、保留学籍的时间均计入学习年限。</w:t>
      </w:r>
    </w:p>
    <w:p w14:paraId="6F220D5F">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第十六条</w:t>
      </w:r>
      <w:r>
        <w:rPr>
          <w:rFonts w:hint="eastAsia" w:ascii="仿宋" w:hAnsi="仿宋" w:eastAsia="仿宋" w:cs="仿宋"/>
          <w:kern w:val="0"/>
          <w:sz w:val="32"/>
          <w:szCs w:val="32"/>
          <w:lang w:val="zh-CN"/>
        </w:rPr>
        <w:t xml:space="preserve"> 学校普通全日制本科学历教育阶段各专业均实行学分制。学生在学校规定的最长学习年限内修完专业培养方案规定的内容和学分，达到学校毕业要求的，准予毕业。</w:t>
      </w:r>
    </w:p>
    <w:p w14:paraId="0867F801">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第四章  考勤与请假</w:t>
      </w:r>
    </w:p>
    <w:p w14:paraId="17A1EB40">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第十七条</w:t>
      </w:r>
      <w:r>
        <w:rPr>
          <w:rFonts w:hint="eastAsia" w:ascii="仿宋" w:hAnsi="仿宋" w:eastAsia="仿宋" w:cs="仿宋"/>
          <w:kern w:val="0"/>
          <w:sz w:val="32"/>
          <w:szCs w:val="32"/>
          <w:lang w:val="zh-CN"/>
        </w:rPr>
        <w:t xml:space="preserve"> 学生应按要求参加学校制定的所学专业培养方案规定的教育教学活动（含课堂延续教学）和各种教育教学环节。学生因故不能参加的，应事先请假并获得批准。未经请假、请假未批准或请假逾期的，按旷课处理。具体按照《北京工商大学学生考勤管理办法》和《北京工商大学学生违纪处分规定》的相关规定执行。</w:t>
      </w:r>
    </w:p>
    <w:p w14:paraId="39CAA229">
      <w:pPr>
        <w:autoSpaceDE w:val="0"/>
        <w:autoSpaceDN w:val="0"/>
        <w:adjustRightInd w:val="0"/>
        <w:spacing w:line="560" w:lineRule="exact"/>
        <w:ind w:firstLine="643" w:firstLineChars="200"/>
        <w:rPr>
          <w:rFonts w:ascii="仿宋" w:hAnsi="仿宋" w:eastAsia="仿宋" w:cs="仿宋"/>
          <w:kern w:val="0"/>
          <w:sz w:val="32"/>
          <w:szCs w:val="32"/>
          <w:lang w:val="zh-CN"/>
        </w:rPr>
      </w:pPr>
      <w:bookmarkStart w:id="1" w:name="_Hlk488687847"/>
      <w:r>
        <w:rPr>
          <w:rFonts w:hint="eastAsia" w:ascii="仿宋" w:hAnsi="仿宋" w:eastAsia="仿宋" w:cs="仿宋"/>
          <w:b/>
          <w:kern w:val="0"/>
          <w:sz w:val="32"/>
          <w:szCs w:val="32"/>
          <w:lang w:val="zh-CN"/>
        </w:rPr>
        <w:t>第十八条</w:t>
      </w:r>
      <w:r>
        <w:rPr>
          <w:rFonts w:hint="eastAsia" w:ascii="仿宋" w:hAnsi="仿宋" w:eastAsia="仿宋" w:cs="仿宋"/>
          <w:kern w:val="0"/>
          <w:sz w:val="32"/>
          <w:szCs w:val="32"/>
          <w:lang w:val="zh-CN"/>
        </w:rPr>
        <w:t xml:space="preserve">  学生在教育教学环节的旷课时间，按专业培养方案规定的课程学时计算。其中，军事训练、集中实践环节、思想政治理论课社会实践环节按每天4学时计算旷课时间。</w:t>
      </w:r>
    </w:p>
    <w:bookmarkEnd w:id="1"/>
    <w:p w14:paraId="2DBBC34E">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 xml:space="preserve">第十九条  </w:t>
      </w:r>
      <w:r>
        <w:rPr>
          <w:rFonts w:hint="eastAsia" w:ascii="仿宋" w:hAnsi="仿宋" w:eastAsia="仿宋" w:cs="仿宋"/>
          <w:kern w:val="0"/>
          <w:sz w:val="32"/>
          <w:szCs w:val="32"/>
          <w:lang w:val="zh-CN"/>
        </w:rPr>
        <w:t>学生出勤情况是其学习成绩考核的组成部分。教师应根据本规定的要求和原则、所讲授课程的特点及学生人数等情况，采取相应的考勤办法，认真记录学生出勤情况，并记入学生平时成绩。</w:t>
      </w:r>
    </w:p>
    <w:p w14:paraId="17405AF5">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第五章   课程修读与学分</w:t>
      </w:r>
    </w:p>
    <w:p w14:paraId="1AEE37C2">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第二十条</w:t>
      </w:r>
      <w:r>
        <w:rPr>
          <w:rFonts w:hint="eastAsia" w:ascii="仿宋" w:hAnsi="仿宋" w:eastAsia="仿宋" w:cs="仿宋"/>
          <w:kern w:val="0"/>
          <w:sz w:val="32"/>
          <w:szCs w:val="32"/>
          <w:lang w:val="zh-CN"/>
        </w:rPr>
        <w:t xml:space="preserve">  各专业按专业培养方案设置课程、各种教育教学环节（以下统称课程）及课堂延续教学。课程分为必修课和选修课两类。学生应按所学专业培养方案的规定，完成两类课程的修读。</w:t>
      </w:r>
    </w:p>
    <w:p w14:paraId="3FDDBD48">
      <w:pPr>
        <w:autoSpaceDE w:val="0"/>
        <w:autoSpaceDN w:val="0"/>
        <w:spacing w:line="560" w:lineRule="exact"/>
        <w:ind w:firstLine="640" w:firstLineChars="200"/>
        <w:rPr>
          <w:rFonts w:ascii="仿宋" w:hAnsi="仿宋" w:eastAsia="仿宋" w:cs="仿宋"/>
          <w:kern w:val="0"/>
          <w:sz w:val="32"/>
          <w:szCs w:val="32"/>
          <w:lang w:val="zh-CN"/>
        </w:rPr>
      </w:pPr>
      <w:bookmarkStart w:id="2" w:name="_Hlk488688168"/>
      <w:r>
        <w:rPr>
          <w:rFonts w:hint="eastAsia" w:ascii="仿宋" w:hAnsi="仿宋" w:eastAsia="仿宋" w:cs="仿宋"/>
          <w:kern w:val="0"/>
          <w:sz w:val="32"/>
          <w:szCs w:val="32"/>
          <w:lang w:val="zh-CN"/>
        </w:rPr>
        <w:t>必修课是学生必须修读的课程，包括通识基础课、专业基础课、专业方向课、集中实践环节和第二课堂素质教育专项课程。</w:t>
      </w:r>
    </w:p>
    <w:bookmarkEnd w:id="2"/>
    <w:p w14:paraId="38B348A6">
      <w:pPr>
        <w:autoSpaceDE w:val="0"/>
        <w:autoSpaceDN w:val="0"/>
        <w:spacing w:line="560" w:lineRule="exact"/>
        <w:ind w:firstLine="640" w:firstLineChars="200"/>
        <w:rPr>
          <w:rFonts w:ascii="仿宋" w:hAnsi="仿宋" w:eastAsia="仿宋" w:cs="仿宋"/>
          <w:kern w:val="0"/>
          <w:sz w:val="32"/>
          <w:szCs w:val="32"/>
          <w:lang w:val="zh-CN"/>
        </w:rPr>
      </w:pPr>
      <w:bookmarkStart w:id="3" w:name="_Hlk488688500"/>
      <w:r>
        <w:rPr>
          <w:rFonts w:hint="eastAsia" w:ascii="仿宋" w:hAnsi="仿宋" w:eastAsia="仿宋" w:cs="仿宋"/>
          <w:kern w:val="0"/>
          <w:sz w:val="32"/>
          <w:szCs w:val="32"/>
          <w:lang w:val="zh-CN"/>
        </w:rPr>
        <w:t>选修课是学生根据所学专业培养方案自主选修的课程，包括专业选修课和通识选修课。其中，专业选修课须在培养方案规定范围内自主选修，通识选修课可在全校范围内自主选修。</w:t>
      </w:r>
    </w:p>
    <w:bookmarkEnd w:id="3"/>
    <w:p w14:paraId="50F6EBCF">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 xml:space="preserve">第二十一条  </w:t>
      </w:r>
      <w:r>
        <w:rPr>
          <w:rFonts w:hint="eastAsia" w:ascii="仿宋" w:hAnsi="仿宋" w:eastAsia="仿宋" w:cs="仿宋"/>
          <w:kern w:val="0"/>
          <w:sz w:val="32"/>
          <w:szCs w:val="32"/>
          <w:lang w:val="zh-CN"/>
        </w:rPr>
        <w:t>以下课程的设置及门数应按下列规定执行：</w:t>
      </w:r>
    </w:p>
    <w:p w14:paraId="2BC1466F">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（一）凡跨学期开设的课程，每学期按一门课程计；</w:t>
      </w:r>
    </w:p>
    <w:p w14:paraId="30B7C8D2">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（二）单独开设的实验课，每学期按一门课程计；</w:t>
      </w:r>
    </w:p>
    <w:p w14:paraId="159FF87C">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（三）专业实习、毕业实习、毕业论文（设计）和第二课堂素质教育专项课程，均按一门课程计；</w:t>
      </w:r>
    </w:p>
    <w:p w14:paraId="350C5882">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（四）培养方案规定的其他实践教学环节，如单独进行考核的，按一门课程计；</w:t>
      </w:r>
    </w:p>
    <w:p w14:paraId="35AC3431">
      <w:pPr>
        <w:autoSpaceDE w:val="0"/>
        <w:autoSpaceDN w:val="0"/>
        <w:adjustRightInd w:val="0"/>
        <w:spacing w:line="56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lang w:val="zh-CN"/>
        </w:rPr>
        <w:t>（五）大学英语实行分级教学，每一级按一门课程计。</w:t>
      </w:r>
    </w:p>
    <w:p w14:paraId="2A5B01C9">
      <w:pPr>
        <w:autoSpaceDE w:val="0"/>
        <w:autoSpaceDN w:val="0"/>
        <w:adjustRightInd w:val="0"/>
        <w:spacing w:line="560" w:lineRule="exact"/>
        <w:ind w:right="25" w:firstLine="643" w:firstLineChars="200"/>
        <w:rPr>
          <w:rFonts w:ascii="仿宋" w:hAnsi="仿宋" w:eastAsia="仿宋" w:cs="仿宋"/>
          <w:kern w:val="0"/>
          <w:sz w:val="32"/>
          <w:szCs w:val="32"/>
          <w:lang w:val="zh-CN"/>
        </w:rPr>
      </w:pPr>
      <w:bookmarkStart w:id="4" w:name="_Hlk488688652"/>
      <w:r>
        <w:rPr>
          <w:rFonts w:hint="eastAsia" w:ascii="仿宋" w:hAnsi="仿宋" w:eastAsia="仿宋" w:cs="仿宋"/>
          <w:b/>
          <w:kern w:val="0"/>
          <w:sz w:val="32"/>
          <w:szCs w:val="32"/>
          <w:lang w:val="zh-CN"/>
        </w:rPr>
        <w:t>第二十二条</w:t>
      </w:r>
      <w:r>
        <w:rPr>
          <w:rFonts w:hint="eastAsia" w:ascii="仿宋" w:hAnsi="仿宋" w:eastAsia="仿宋" w:cs="仿宋"/>
          <w:kern w:val="0"/>
          <w:sz w:val="32"/>
          <w:szCs w:val="32"/>
          <w:lang w:val="zh-CN"/>
        </w:rPr>
        <w:t xml:space="preserve">  课程学分的计算原则上理论教学以1</w:t>
      </w:r>
      <w:r>
        <w:rPr>
          <w:rFonts w:hint="eastAsia" w:ascii="仿宋" w:hAnsi="仿宋" w:eastAsia="仿宋" w:cs="仿宋"/>
          <w:kern w:val="0"/>
          <w:sz w:val="32"/>
          <w:szCs w:val="32"/>
        </w:rPr>
        <w:t>6</w:t>
      </w:r>
      <w:r>
        <w:rPr>
          <w:rFonts w:hint="eastAsia" w:ascii="仿宋" w:hAnsi="仿宋" w:eastAsia="仿宋" w:cs="仿宋"/>
          <w:kern w:val="0"/>
          <w:sz w:val="32"/>
          <w:szCs w:val="32"/>
          <w:lang w:val="zh-CN"/>
        </w:rPr>
        <w:t>个学时为1学分，体育课</w:t>
      </w:r>
      <w:r>
        <w:rPr>
          <w:rFonts w:hint="eastAsia" w:ascii="仿宋" w:hAnsi="仿宋" w:eastAsia="仿宋" w:cs="仿宋"/>
          <w:kern w:val="0"/>
          <w:sz w:val="32"/>
          <w:szCs w:val="32"/>
        </w:rPr>
        <w:t>32</w:t>
      </w:r>
      <w:r>
        <w:rPr>
          <w:rFonts w:hint="eastAsia" w:ascii="仿宋" w:hAnsi="仿宋" w:eastAsia="仿宋" w:cs="仿宋"/>
          <w:kern w:val="0"/>
          <w:sz w:val="32"/>
          <w:szCs w:val="32"/>
          <w:lang w:val="zh-CN"/>
        </w:rPr>
        <w:t>个学时为1学分，集中实践环节的学分统一折算为1周0.5学分，第二课堂素质教育专项课程1</w:t>
      </w:r>
      <w:r>
        <w:rPr>
          <w:rFonts w:hint="eastAsia" w:ascii="仿宋" w:hAnsi="仿宋" w:eastAsia="仿宋" w:cs="仿宋"/>
          <w:kern w:val="0"/>
          <w:sz w:val="32"/>
          <w:szCs w:val="32"/>
        </w:rPr>
        <w:t>6</w:t>
      </w:r>
      <w:r>
        <w:rPr>
          <w:rFonts w:hint="eastAsia" w:ascii="仿宋" w:hAnsi="仿宋" w:eastAsia="仿宋" w:cs="仿宋"/>
          <w:kern w:val="0"/>
          <w:sz w:val="32"/>
          <w:szCs w:val="32"/>
          <w:lang w:val="zh-CN"/>
        </w:rPr>
        <w:t>学时或1周为0.5学分。</w:t>
      </w:r>
    </w:p>
    <w:bookmarkEnd w:id="4"/>
    <w:p w14:paraId="00604887">
      <w:pPr>
        <w:autoSpaceDE w:val="0"/>
        <w:autoSpaceDN w:val="0"/>
        <w:adjustRightInd w:val="0"/>
        <w:spacing w:line="560" w:lineRule="exact"/>
        <w:ind w:left="105" w:leftChars="50"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各门课程的具体学分数以专业培养方案规定的为准。</w:t>
      </w:r>
    </w:p>
    <w:p w14:paraId="08CB019E">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第二十三条</w:t>
      </w:r>
      <w:r>
        <w:rPr>
          <w:rFonts w:hint="eastAsia" w:ascii="仿宋" w:hAnsi="仿宋" w:eastAsia="仿宋" w:cs="仿宋"/>
          <w:kern w:val="0"/>
          <w:sz w:val="32"/>
          <w:szCs w:val="32"/>
          <w:lang w:val="zh-CN"/>
        </w:rPr>
        <w:t>　学生在校期间，必须完成和参加专业培养方案所规定的课程学习和考核，考核及格方能获得规定的学分。</w:t>
      </w:r>
    </w:p>
    <w:p w14:paraId="6F09C212">
      <w:pPr>
        <w:autoSpaceDE w:val="0"/>
        <w:autoSpaceDN w:val="0"/>
        <w:adjustRightInd w:val="0"/>
        <w:spacing w:line="560" w:lineRule="exact"/>
        <w:ind w:firstLine="643" w:firstLineChars="200"/>
        <w:rPr>
          <w:rFonts w:ascii="仿宋" w:hAnsi="仿宋" w:eastAsia="仿宋" w:cs="仿宋"/>
          <w:kern w:val="0"/>
          <w:sz w:val="32"/>
          <w:szCs w:val="32"/>
          <w:lang w:val="zh-CN"/>
        </w:rPr>
      </w:pPr>
      <w:bookmarkStart w:id="5" w:name="_Hlk488688749"/>
      <w:r>
        <w:rPr>
          <w:rFonts w:hint="eastAsia" w:ascii="仿宋" w:hAnsi="仿宋" w:eastAsia="仿宋" w:cs="仿宋"/>
          <w:b/>
          <w:kern w:val="0"/>
          <w:sz w:val="32"/>
          <w:szCs w:val="32"/>
          <w:lang w:val="zh-CN"/>
        </w:rPr>
        <w:t>第二十四条</w:t>
      </w:r>
      <w:r>
        <w:rPr>
          <w:rFonts w:hint="eastAsia" w:ascii="仿宋" w:hAnsi="仿宋" w:eastAsia="仿宋" w:cs="仿宋"/>
          <w:kern w:val="0"/>
          <w:sz w:val="32"/>
          <w:szCs w:val="32"/>
          <w:lang w:val="zh-CN"/>
        </w:rPr>
        <w:t xml:space="preserve">  学生应在所在学院指导下，按照专业培养方案设置的课程，并结合学校公布的开设课程进行选课，学生每学期所选课程的学分总数不应低于培养方案规定的学分数。</w:t>
      </w:r>
    </w:p>
    <w:bookmarkEnd w:id="5"/>
    <w:p w14:paraId="6467132E">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学生应按培养方案规定的课程顺序和要求，循序渐进修读课程。课程如有先修后续关系的，须取得先修课程学分后方可修读后续课程。</w:t>
      </w:r>
    </w:p>
    <w:p w14:paraId="6157B6EE">
      <w:pPr>
        <w:autoSpaceDE w:val="0"/>
        <w:autoSpaceDN w:val="0"/>
        <w:adjustRightInd w:val="0"/>
        <w:spacing w:line="560" w:lineRule="exact"/>
        <w:ind w:firstLine="643" w:firstLineChars="200"/>
        <w:rPr>
          <w:rFonts w:ascii="仿宋" w:hAnsi="仿宋" w:eastAsia="仿宋" w:cs="仿宋"/>
          <w:spacing w:val="-20"/>
          <w:kern w:val="0"/>
          <w:sz w:val="32"/>
          <w:szCs w:val="32"/>
          <w:lang w:val="zh-CN"/>
        </w:rPr>
      </w:pPr>
      <w:r>
        <w:rPr>
          <w:rFonts w:hint="eastAsia" w:ascii="仿宋" w:hAnsi="仿宋" w:eastAsia="仿宋" w:cs="仿宋"/>
          <w:b/>
          <w:kern w:val="0"/>
          <w:sz w:val="32"/>
          <w:szCs w:val="32"/>
          <w:lang w:val="zh-CN"/>
        </w:rPr>
        <w:t>第二十五条</w:t>
      </w:r>
      <w:r>
        <w:rPr>
          <w:rFonts w:hint="eastAsia" w:ascii="仿宋" w:hAnsi="仿宋" w:eastAsia="仿宋" w:cs="仿宋"/>
          <w:kern w:val="0"/>
          <w:sz w:val="32"/>
          <w:szCs w:val="32"/>
          <w:lang w:val="zh-CN"/>
        </w:rPr>
        <w:t xml:space="preserve">  学生可参加学校认可的开放式网络课程学习。</w:t>
      </w:r>
      <w:r>
        <w:rPr>
          <w:rFonts w:hint="eastAsia" w:ascii="仿宋" w:hAnsi="仿宋" w:eastAsia="仿宋" w:cs="仿宋"/>
          <w:spacing w:val="-20"/>
          <w:kern w:val="0"/>
          <w:sz w:val="32"/>
          <w:szCs w:val="32"/>
          <w:lang w:val="zh-CN"/>
        </w:rPr>
        <w:t>学生修读的课程成绩和学分，经学校审核同意后，予以承认。</w:t>
      </w:r>
    </w:p>
    <w:p w14:paraId="7D11C5E3">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第二十六条</w:t>
      </w:r>
      <w:r>
        <w:rPr>
          <w:rFonts w:hint="eastAsia" w:ascii="仿宋" w:hAnsi="仿宋" w:eastAsia="仿宋" w:cs="仿宋"/>
          <w:kern w:val="0"/>
          <w:sz w:val="32"/>
          <w:szCs w:val="32"/>
          <w:lang w:val="zh-CN"/>
        </w:rPr>
        <w:t xml:space="preserve">  学生在校学习期间，在所学专业的培养方案要求之外，参加创新创业、社会实践等活动以及发表论文、获得专利授权等与专业学习、学业要求相关的经历、成果，经学校核准认定后，可以折算为学分，计入学业成绩。具体按《北京工商大学本科生创新实践学分管理办法》执行。</w:t>
      </w:r>
    </w:p>
    <w:p w14:paraId="2DE19837">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第六章  考核和成绩</w:t>
      </w:r>
    </w:p>
    <w:p w14:paraId="42994E79">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第二十七条</w:t>
      </w:r>
      <w:r>
        <w:rPr>
          <w:rFonts w:hint="eastAsia" w:ascii="仿宋" w:hAnsi="仿宋" w:eastAsia="仿宋" w:cs="仿宋"/>
          <w:kern w:val="0"/>
          <w:sz w:val="32"/>
          <w:szCs w:val="32"/>
          <w:lang w:val="zh-CN"/>
        </w:rPr>
        <w:t xml:space="preserve">  学生必须参加专业培养方案设置的各门课程的考核。学生学业考核的管理按《北京工商大学本科生学业考核工作管理办法》执行。</w:t>
      </w:r>
    </w:p>
    <w:p w14:paraId="0E643F4B">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 xml:space="preserve">第二十八条  </w:t>
      </w:r>
      <w:r>
        <w:rPr>
          <w:rFonts w:hint="eastAsia" w:ascii="仿宋" w:hAnsi="仿宋" w:eastAsia="仿宋" w:cs="仿宋"/>
          <w:kern w:val="0"/>
          <w:sz w:val="32"/>
          <w:szCs w:val="32"/>
          <w:lang w:val="zh-CN"/>
        </w:rPr>
        <w:t>学校真实、完整地记载、出具学生学业成绩，对通过补考、</w:t>
      </w:r>
      <w:r>
        <w:rPr>
          <w:rFonts w:hint="eastAsia" w:ascii="仿宋" w:hAnsi="仿宋" w:eastAsia="仿宋" w:cs="仿宋"/>
          <w:kern w:val="0"/>
          <w:sz w:val="32"/>
          <w:szCs w:val="32"/>
        </w:rPr>
        <w:t>重考</w:t>
      </w:r>
      <w:r>
        <w:rPr>
          <w:rFonts w:hint="eastAsia" w:ascii="仿宋" w:hAnsi="仿宋" w:eastAsia="仿宋" w:cs="仿宋"/>
          <w:kern w:val="0"/>
          <w:sz w:val="32"/>
          <w:szCs w:val="32"/>
          <w:lang w:val="zh-CN"/>
        </w:rPr>
        <w:t>获得的成绩在成绩单中予以标注。学生考核成绩记入纸质和电子成绩册，并归入学生本人档案，毕业时纸质版成绩单原件留存学校档案馆。</w:t>
      </w:r>
    </w:p>
    <w:p w14:paraId="36DCD0BA">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学生严重违反考场、考核纪律或者作弊的，须在该课程考核中予以标注，成绩记为0分，视其违纪或者作弊情节，给予相应的纪律处分。给予警告、严重警告、记过及留校察看处分的，经教育表现较好，可以对该课程给予补考或者重修机会。</w:t>
      </w:r>
    </w:p>
    <w:p w14:paraId="5040370D">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 xml:space="preserve">第二十九条  </w:t>
      </w:r>
      <w:r>
        <w:rPr>
          <w:rFonts w:hint="eastAsia" w:ascii="仿宋" w:hAnsi="仿宋" w:eastAsia="仿宋" w:cs="仿宋"/>
          <w:kern w:val="0"/>
          <w:sz w:val="32"/>
          <w:szCs w:val="32"/>
          <w:lang w:val="zh-CN"/>
        </w:rPr>
        <w:t>学生因退学等情况中止学业，其在校学习期间所修课程及已获得的学分，学校予以记录。学生重新参加入学考试、符合录取条件，再次入学的，其退学前所修的课程类别、学分认定和学分折算等事宜按学校有关规定执行。</w:t>
      </w:r>
    </w:p>
    <w:p w14:paraId="4A8CD280">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第三十条</w:t>
      </w:r>
      <w:r>
        <w:rPr>
          <w:rFonts w:hint="eastAsia" w:ascii="仿宋" w:hAnsi="仿宋" w:eastAsia="仿宋" w:cs="仿宋"/>
          <w:kern w:val="0"/>
          <w:sz w:val="32"/>
          <w:szCs w:val="32"/>
          <w:lang w:val="zh-CN"/>
        </w:rPr>
        <w:t xml:space="preserve">  为了评价学生的学习质量，学校实行学分制基础上的绩点制度。课程平均学分绩点是决定学生能否获得学士学位的基本条件，是学生修读辅修专业及转专业，参加各种评优、评奖及免试推荐攻读硕士研究生等的重要条件之一，也是学校向学生发布学业警示的依据。考核成绩与绩点的关系及计算方法如下：</w:t>
      </w:r>
    </w:p>
    <w:p w14:paraId="17745E1B">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（一）考核成绩与绩点的关系</w:t>
      </w:r>
    </w:p>
    <w:tbl>
      <w:tblPr>
        <w:tblStyle w:val="5"/>
        <w:tblW w:w="6149" w:type="dxa"/>
        <w:jc w:val="center"/>
        <w:tblLayout w:type="fixed"/>
        <w:tblCellMar>
          <w:top w:w="0" w:type="dxa"/>
          <w:left w:w="108" w:type="dxa"/>
          <w:bottom w:w="0" w:type="dxa"/>
          <w:right w:w="108" w:type="dxa"/>
        </w:tblCellMar>
      </w:tblPr>
      <w:tblGrid>
        <w:gridCol w:w="3074"/>
        <w:gridCol w:w="3075"/>
      </w:tblGrid>
      <w:tr w14:paraId="2348FF23">
        <w:tblPrEx>
          <w:tblCellMar>
            <w:top w:w="0" w:type="dxa"/>
            <w:left w:w="108" w:type="dxa"/>
            <w:bottom w:w="0" w:type="dxa"/>
            <w:right w:w="108" w:type="dxa"/>
          </w:tblCellMar>
        </w:tblPrEx>
        <w:trPr>
          <w:trHeight w:val="1" w:hRule="atLeast"/>
          <w:jc w:val="center"/>
        </w:trPr>
        <w:tc>
          <w:tcPr>
            <w:tcW w:w="3074" w:type="dxa"/>
            <w:tcBorders>
              <w:top w:val="single" w:color="000000" w:sz="2" w:space="0"/>
              <w:left w:val="single" w:color="000000" w:sz="2" w:space="0"/>
              <w:bottom w:val="single" w:color="000000" w:sz="2" w:space="0"/>
              <w:right w:val="single" w:color="000000" w:sz="2" w:space="0"/>
            </w:tcBorders>
            <w:vAlign w:val="center"/>
          </w:tcPr>
          <w:p w14:paraId="664AF0F9">
            <w:pPr>
              <w:autoSpaceDE w:val="0"/>
              <w:autoSpaceDN w:val="0"/>
              <w:adjustRightInd w:val="0"/>
              <w:spacing w:line="560" w:lineRule="exact"/>
              <w:ind w:firstLine="643" w:firstLineChars="200"/>
              <w:rPr>
                <w:rFonts w:ascii="仿宋" w:hAnsi="仿宋" w:eastAsia="仿宋" w:cs="仿宋"/>
                <w:b/>
                <w:kern w:val="0"/>
                <w:sz w:val="32"/>
                <w:szCs w:val="32"/>
                <w:lang w:val="zh-CN"/>
              </w:rPr>
            </w:pPr>
            <w:r>
              <w:rPr>
                <w:rFonts w:hint="eastAsia" w:ascii="仿宋" w:hAnsi="仿宋" w:eastAsia="仿宋" w:cs="仿宋"/>
                <w:b/>
                <w:kern w:val="0"/>
                <w:sz w:val="32"/>
                <w:szCs w:val="32"/>
                <w:lang w:val="zh-CN"/>
              </w:rPr>
              <w:t>考核成绩</w:t>
            </w:r>
          </w:p>
        </w:tc>
        <w:tc>
          <w:tcPr>
            <w:tcW w:w="3075" w:type="dxa"/>
            <w:tcBorders>
              <w:top w:val="single" w:color="000000" w:sz="2" w:space="0"/>
              <w:left w:val="single" w:color="000000" w:sz="2" w:space="0"/>
              <w:bottom w:val="single" w:color="000000" w:sz="2" w:space="0"/>
              <w:right w:val="single" w:color="000000" w:sz="2" w:space="0"/>
            </w:tcBorders>
            <w:vAlign w:val="center"/>
          </w:tcPr>
          <w:p w14:paraId="640B5F04">
            <w:pPr>
              <w:autoSpaceDE w:val="0"/>
              <w:autoSpaceDN w:val="0"/>
              <w:adjustRightInd w:val="0"/>
              <w:spacing w:line="560" w:lineRule="exact"/>
              <w:ind w:firstLine="643" w:firstLineChars="200"/>
              <w:rPr>
                <w:rFonts w:ascii="仿宋" w:hAnsi="仿宋" w:eastAsia="仿宋" w:cs="仿宋"/>
                <w:b/>
                <w:kern w:val="0"/>
                <w:sz w:val="32"/>
                <w:szCs w:val="32"/>
                <w:lang w:val="zh-CN"/>
              </w:rPr>
            </w:pPr>
            <w:r>
              <w:rPr>
                <w:rFonts w:hint="eastAsia" w:ascii="仿宋" w:hAnsi="仿宋" w:eastAsia="仿宋" w:cs="仿宋"/>
                <w:b/>
                <w:kern w:val="0"/>
                <w:sz w:val="32"/>
                <w:szCs w:val="32"/>
                <w:lang w:val="zh-CN"/>
              </w:rPr>
              <w:t>绩点系数</w:t>
            </w:r>
          </w:p>
        </w:tc>
      </w:tr>
      <w:tr w14:paraId="10029AFF">
        <w:tblPrEx>
          <w:tblCellMar>
            <w:top w:w="0" w:type="dxa"/>
            <w:left w:w="108" w:type="dxa"/>
            <w:bottom w:w="0" w:type="dxa"/>
            <w:right w:w="108" w:type="dxa"/>
          </w:tblCellMar>
        </w:tblPrEx>
        <w:trPr>
          <w:trHeight w:val="1" w:hRule="atLeast"/>
          <w:jc w:val="center"/>
        </w:trPr>
        <w:tc>
          <w:tcPr>
            <w:tcW w:w="3074" w:type="dxa"/>
            <w:tcBorders>
              <w:top w:val="single" w:color="000000" w:sz="2" w:space="0"/>
              <w:left w:val="single" w:color="000000" w:sz="2" w:space="0"/>
              <w:bottom w:val="single" w:color="000000" w:sz="2" w:space="0"/>
              <w:right w:val="single" w:color="000000" w:sz="2" w:space="0"/>
            </w:tcBorders>
            <w:vAlign w:val="center"/>
          </w:tcPr>
          <w:p w14:paraId="42709DA8">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rPr>
              <w:t>90</w:t>
            </w:r>
            <w:r>
              <w:rPr>
                <w:rFonts w:hint="eastAsia" w:ascii="仿宋" w:hAnsi="仿宋" w:eastAsia="仿宋" w:cs="仿宋"/>
                <w:kern w:val="0"/>
                <w:sz w:val="32"/>
                <w:szCs w:val="32"/>
                <w:lang w:val="zh-CN"/>
              </w:rPr>
              <w:t>～</w:t>
            </w:r>
            <w:r>
              <w:rPr>
                <w:rFonts w:hint="eastAsia" w:ascii="仿宋" w:hAnsi="仿宋" w:eastAsia="仿宋" w:cs="仿宋"/>
                <w:kern w:val="0"/>
                <w:sz w:val="32"/>
                <w:szCs w:val="32"/>
              </w:rPr>
              <w:t>100</w:t>
            </w:r>
          </w:p>
        </w:tc>
        <w:tc>
          <w:tcPr>
            <w:tcW w:w="3075" w:type="dxa"/>
            <w:tcBorders>
              <w:top w:val="single" w:color="000000" w:sz="2" w:space="0"/>
              <w:left w:val="single" w:color="000000" w:sz="2" w:space="0"/>
              <w:bottom w:val="single" w:color="000000" w:sz="2" w:space="0"/>
              <w:right w:val="single" w:color="000000" w:sz="2" w:space="0"/>
            </w:tcBorders>
            <w:vAlign w:val="center"/>
          </w:tcPr>
          <w:p w14:paraId="755D1BDB">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rPr>
              <w:t>4</w:t>
            </w:r>
            <w:r>
              <w:rPr>
                <w:rFonts w:hint="eastAsia" w:ascii="仿宋" w:hAnsi="仿宋" w:eastAsia="仿宋" w:cs="仿宋"/>
                <w:kern w:val="0"/>
                <w:sz w:val="32"/>
                <w:szCs w:val="32"/>
                <w:lang w:val="zh-CN"/>
              </w:rPr>
              <w:t>～</w:t>
            </w:r>
            <w:r>
              <w:rPr>
                <w:rFonts w:hint="eastAsia" w:ascii="仿宋" w:hAnsi="仿宋" w:eastAsia="仿宋" w:cs="仿宋"/>
                <w:kern w:val="0"/>
                <w:sz w:val="32"/>
                <w:szCs w:val="32"/>
              </w:rPr>
              <w:t>5</w:t>
            </w:r>
          </w:p>
        </w:tc>
      </w:tr>
      <w:tr w14:paraId="37246B94">
        <w:tblPrEx>
          <w:tblCellMar>
            <w:top w:w="0" w:type="dxa"/>
            <w:left w:w="108" w:type="dxa"/>
            <w:bottom w:w="0" w:type="dxa"/>
            <w:right w:w="108" w:type="dxa"/>
          </w:tblCellMar>
        </w:tblPrEx>
        <w:trPr>
          <w:trHeight w:val="1" w:hRule="atLeast"/>
          <w:jc w:val="center"/>
        </w:trPr>
        <w:tc>
          <w:tcPr>
            <w:tcW w:w="3074" w:type="dxa"/>
            <w:tcBorders>
              <w:top w:val="single" w:color="000000" w:sz="2" w:space="0"/>
              <w:left w:val="single" w:color="000000" w:sz="2" w:space="0"/>
              <w:bottom w:val="single" w:color="000000" w:sz="2" w:space="0"/>
              <w:right w:val="single" w:color="000000" w:sz="2" w:space="0"/>
            </w:tcBorders>
            <w:vAlign w:val="center"/>
          </w:tcPr>
          <w:p w14:paraId="4F00D49E">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rPr>
              <w:t>80</w:t>
            </w:r>
            <w:r>
              <w:rPr>
                <w:rFonts w:hint="eastAsia" w:ascii="仿宋" w:hAnsi="仿宋" w:eastAsia="仿宋" w:cs="仿宋"/>
                <w:kern w:val="0"/>
                <w:sz w:val="32"/>
                <w:szCs w:val="32"/>
                <w:lang w:val="zh-CN"/>
              </w:rPr>
              <w:t>～</w:t>
            </w:r>
            <w:r>
              <w:rPr>
                <w:rFonts w:hint="eastAsia" w:ascii="仿宋" w:hAnsi="仿宋" w:eastAsia="仿宋" w:cs="仿宋"/>
                <w:kern w:val="0"/>
                <w:sz w:val="32"/>
                <w:szCs w:val="32"/>
              </w:rPr>
              <w:t>89</w:t>
            </w:r>
          </w:p>
        </w:tc>
        <w:tc>
          <w:tcPr>
            <w:tcW w:w="3075" w:type="dxa"/>
            <w:tcBorders>
              <w:top w:val="single" w:color="000000" w:sz="2" w:space="0"/>
              <w:left w:val="single" w:color="000000" w:sz="2" w:space="0"/>
              <w:bottom w:val="single" w:color="000000" w:sz="2" w:space="0"/>
              <w:right w:val="single" w:color="000000" w:sz="2" w:space="0"/>
            </w:tcBorders>
            <w:vAlign w:val="center"/>
          </w:tcPr>
          <w:p w14:paraId="6DE9A323">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rPr>
              <w:t>3</w:t>
            </w:r>
            <w:r>
              <w:rPr>
                <w:rFonts w:hint="eastAsia" w:ascii="仿宋" w:hAnsi="仿宋" w:eastAsia="仿宋" w:cs="仿宋"/>
                <w:kern w:val="0"/>
                <w:sz w:val="32"/>
                <w:szCs w:val="32"/>
                <w:lang w:val="zh-CN"/>
              </w:rPr>
              <w:t>～</w:t>
            </w:r>
            <w:r>
              <w:rPr>
                <w:rFonts w:hint="eastAsia" w:ascii="仿宋" w:hAnsi="仿宋" w:eastAsia="仿宋" w:cs="仿宋"/>
                <w:kern w:val="0"/>
                <w:sz w:val="32"/>
                <w:szCs w:val="32"/>
              </w:rPr>
              <w:t>3.9</w:t>
            </w:r>
          </w:p>
        </w:tc>
      </w:tr>
      <w:tr w14:paraId="41D74F19">
        <w:tblPrEx>
          <w:tblCellMar>
            <w:top w:w="0" w:type="dxa"/>
            <w:left w:w="108" w:type="dxa"/>
            <w:bottom w:w="0" w:type="dxa"/>
            <w:right w:w="108" w:type="dxa"/>
          </w:tblCellMar>
        </w:tblPrEx>
        <w:trPr>
          <w:trHeight w:val="1" w:hRule="atLeast"/>
          <w:jc w:val="center"/>
        </w:trPr>
        <w:tc>
          <w:tcPr>
            <w:tcW w:w="3074" w:type="dxa"/>
            <w:tcBorders>
              <w:top w:val="single" w:color="000000" w:sz="2" w:space="0"/>
              <w:left w:val="single" w:color="000000" w:sz="2" w:space="0"/>
              <w:bottom w:val="single" w:color="000000" w:sz="2" w:space="0"/>
              <w:right w:val="single" w:color="000000" w:sz="2" w:space="0"/>
            </w:tcBorders>
            <w:vAlign w:val="center"/>
          </w:tcPr>
          <w:p w14:paraId="0B3FDBF8">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rPr>
              <w:t>70</w:t>
            </w:r>
            <w:r>
              <w:rPr>
                <w:rFonts w:hint="eastAsia" w:ascii="仿宋" w:hAnsi="仿宋" w:eastAsia="仿宋" w:cs="仿宋"/>
                <w:kern w:val="0"/>
                <w:sz w:val="32"/>
                <w:szCs w:val="32"/>
                <w:lang w:val="zh-CN"/>
              </w:rPr>
              <w:t>～</w:t>
            </w:r>
            <w:r>
              <w:rPr>
                <w:rFonts w:hint="eastAsia" w:ascii="仿宋" w:hAnsi="仿宋" w:eastAsia="仿宋" w:cs="仿宋"/>
                <w:kern w:val="0"/>
                <w:sz w:val="32"/>
                <w:szCs w:val="32"/>
              </w:rPr>
              <w:t>79</w:t>
            </w:r>
          </w:p>
        </w:tc>
        <w:tc>
          <w:tcPr>
            <w:tcW w:w="3075" w:type="dxa"/>
            <w:tcBorders>
              <w:top w:val="single" w:color="000000" w:sz="2" w:space="0"/>
              <w:left w:val="single" w:color="000000" w:sz="2" w:space="0"/>
              <w:bottom w:val="single" w:color="000000" w:sz="2" w:space="0"/>
              <w:right w:val="single" w:color="000000" w:sz="2" w:space="0"/>
            </w:tcBorders>
            <w:vAlign w:val="center"/>
          </w:tcPr>
          <w:p w14:paraId="2BE66C59">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rPr>
              <w:t>2</w:t>
            </w:r>
            <w:r>
              <w:rPr>
                <w:rFonts w:hint="eastAsia" w:ascii="仿宋" w:hAnsi="仿宋" w:eastAsia="仿宋" w:cs="仿宋"/>
                <w:kern w:val="0"/>
                <w:sz w:val="32"/>
                <w:szCs w:val="32"/>
                <w:lang w:val="zh-CN"/>
              </w:rPr>
              <w:t>～</w:t>
            </w:r>
            <w:r>
              <w:rPr>
                <w:rFonts w:hint="eastAsia" w:ascii="仿宋" w:hAnsi="仿宋" w:eastAsia="仿宋" w:cs="仿宋"/>
                <w:kern w:val="0"/>
                <w:sz w:val="32"/>
                <w:szCs w:val="32"/>
              </w:rPr>
              <w:t>2.9</w:t>
            </w:r>
          </w:p>
        </w:tc>
      </w:tr>
      <w:tr w14:paraId="247F29DD">
        <w:tblPrEx>
          <w:tblCellMar>
            <w:top w:w="0" w:type="dxa"/>
            <w:left w:w="108" w:type="dxa"/>
            <w:bottom w:w="0" w:type="dxa"/>
            <w:right w:w="108" w:type="dxa"/>
          </w:tblCellMar>
        </w:tblPrEx>
        <w:trPr>
          <w:trHeight w:val="1" w:hRule="atLeast"/>
          <w:jc w:val="center"/>
        </w:trPr>
        <w:tc>
          <w:tcPr>
            <w:tcW w:w="3074" w:type="dxa"/>
            <w:tcBorders>
              <w:top w:val="single" w:color="000000" w:sz="2" w:space="0"/>
              <w:left w:val="single" w:color="000000" w:sz="2" w:space="0"/>
              <w:bottom w:val="single" w:color="000000" w:sz="2" w:space="0"/>
              <w:right w:val="single" w:color="000000" w:sz="2" w:space="0"/>
            </w:tcBorders>
            <w:vAlign w:val="center"/>
          </w:tcPr>
          <w:p w14:paraId="7C0257D5">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rPr>
              <w:t>60</w:t>
            </w:r>
            <w:r>
              <w:rPr>
                <w:rFonts w:hint="eastAsia" w:ascii="仿宋" w:hAnsi="仿宋" w:eastAsia="仿宋" w:cs="仿宋"/>
                <w:kern w:val="0"/>
                <w:sz w:val="32"/>
                <w:szCs w:val="32"/>
                <w:lang w:val="zh-CN"/>
              </w:rPr>
              <w:t>～</w:t>
            </w:r>
            <w:r>
              <w:rPr>
                <w:rFonts w:hint="eastAsia" w:ascii="仿宋" w:hAnsi="仿宋" w:eastAsia="仿宋" w:cs="仿宋"/>
                <w:kern w:val="0"/>
                <w:sz w:val="32"/>
                <w:szCs w:val="32"/>
              </w:rPr>
              <w:t>69</w:t>
            </w:r>
          </w:p>
        </w:tc>
        <w:tc>
          <w:tcPr>
            <w:tcW w:w="3075" w:type="dxa"/>
            <w:tcBorders>
              <w:top w:val="single" w:color="000000" w:sz="2" w:space="0"/>
              <w:left w:val="single" w:color="000000" w:sz="2" w:space="0"/>
              <w:bottom w:val="single" w:color="000000" w:sz="2" w:space="0"/>
              <w:right w:val="single" w:color="000000" w:sz="2" w:space="0"/>
            </w:tcBorders>
            <w:vAlign w:val="center"/>
          </w:tcPr>
          <w:p w14:paraId="00F079D9">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rPr>
              <w:t>1</w:t>
            </w:r>
            <w:r>
              <w:rPr>
                <w:rFonts w:hint="eastAsia" w:ascii="仿宋" w:hAnsi="仿宋" w:eastAsia="仿宋" w:cs="仿宋"/>
                <w:kern w:val="0"/>
                <w:sz w:val="32"/>
                <w:szCs w:val="32"/>
                <w:lang w:val="zh-CN"/>
              </w:rPr>
              <w:t>～</w:t>
            </w:r>
            <w:r>
              <w:rPr>
                <w:rFonts w:hint="eastAsia" w:ascii="仿宋" w:hAnsi="仿宋" w:eastAsia="仿宋" w:cs="仿宋"/>
                <w:kern w:val="0"/>
                <w:sz w:val="32"/>
                <w:szCs w:val="32"/>
              </w:rPr>
              <w:t>1.9</w:t>
            </w:r>
          </w:p>
        </w:tc>
      </w:tr>
      <w:tr w14:paraId="5E2EA900">
        <w:tblPrEx>
          <w:tblCellMar>
            <w:top w:w="0" w:type="dxa"/>
            <w:left w:w="108" w:type="dxa"/>
            <w:bottom w:w="0" w:type="dxa"/>
            <w:right w:w="108" w:type="dxa"/>
          </w:tblCellMar>
        </w:tblPrEx>
        <w:trPr>
          <w:trHeight w:val="1" w:hRule="atLeast"/>
          <w:jc w:val="center"/>
        </w:trPr>
        <w:tc>
          <w:tcPr>
            <w:tcW w:w="3074" w:type="dxa"/>
            <w:tcBorders>
              <w:top w:val="single" w:color="000000" w:sz="2" w:space="0"/>
              <w:left w:val="single" w:color="000000" w:sz="2" w:space="0"/>
              <w:bottom w:val="single" w:color="000000" w:sz="2" w:space="0"/>
              <w:right w:val="single" w:color="000000" w:sz="2" w:space="0"/>
            </w:tcBorders>
            <w:vAlign w:val="center"/>
          </w:tcPr>
          <w:p w14:paraId="3D75C752">
            <w:pPr>
              <w:autoSpaceDE w:val="0"/>
              <w:autoSpaceDN w:val="0"/>
              <w:adjustRightInd w:val="0"/>
              <w:spacing w:line="56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59</w:t>
            </w:r>
            <w:r>
              <w:rPr>
                <w:rFonts w:hint="eastAsia" w:ascii="仿宋" w:hAnsi="仿宋" w:eastAsia="仿宋" w:cs="仿宋"/>
                <w:kern w:val="0"/>
                <w:sz w:val="32"/>
                <w:szCs w:val="32"/>
                <w:lang w:val="zh-CN"/>
              </w:rPr>
              <w:t>以下</w:t>
            </w:r>
          </w:p>
        </w:tc>
        <w:tc>
          <w:tcPr>
            <w:tcW w:w="3075" w:type="dxa"/>
            <w:tcBorders>
              <w:top w:val="single" w:color="000000" w:sz="2" w:space="0"/>
              <w:left w:val="single" w:color="000000" w:sz="2" w:space="0"/>
              <w:bottom w:val="single" w:color="000000" w:sz="2" w:space="0"/>
              <w:right w:val="single" w:color="000000" w:sz="2" w:space="0"/>
            </w:tcBorders>
            <w:vAlign w:val="center"/>
          </w:tcPr>
          <w:p w14:paraId="6A6C776E">
            <w:pPr>
              <w:autoSpaceDE w:val="0"/>
              <w:autoSpaceDN w:val="0"/>
              <w:adjustRightInd w:val="0"/>
              <w:spacing w:line="56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0</w:t>
            </w:r>
          </w:p>
        </w:tc>
      </w:tr>
      <w:tr w14:paraId="56163184">
        <w:tblPrEx>
          <w:tblCellMar>
            <w:top w:w="0" w:type="dxa"/>
            <w:left w:w="108" w:type="dxa"/>
            <w:bottom w:w="0" w:type="dxa"/>
            <w:right w:w="108" w:type="dxa"/>
          </w:tblCellMar>
        </w:tblPrEx>
        <w:trPr>
          <w:trHeight w:val="1" w:hRule="atLeast"/>
          <w:jc w:val="center"/>
        </w:trPr>
        <w:tc>
          <w:tcPr>
            <w:tcW w:w="6149" w:type="dxa"/>
            <w:gridSpan w:val="2"/>
            <w:tcBorders>
              <w:top w:val="single" w:color="000000" w:sz="2" w:space="0"/>
              <w:left w:val="single" w:color="000000" w:sz="2" w:space="0"/>
              <w:bottom w:val="single" w:color="000000" w:sz="2" w:space="0"/>
              <w:right w:val="single" w:color="000000" w:sz="2" w:space="0"/>
            </w:tcBorders>
            <w:vAlign w:val="center"/>
          </w:tcPr>
          <w:p w14:paraId="3F16505F">
            <w:pPr>
              <w:autoSpaceDE w:val="0"/>
              <w:autoSpaceDN w:val="0"/>
              <w:adjustRightInd w:val="0"/>
              <w:spacing w:line="56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lang w:val="zh-CN"/>
              </w:rPr>
              <w:t>说明：课程考核成绩60分为及格，绩点系数为1，60分以上，每增加1分，绩点系数增加0.1。</w:t>
            </w:r>
          </w:p>
        </w:tc>
      </w:tr>
    </w:tbl>
    <w:p w14:paraId="2C766919">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（二）课程学分绩点、课程平均学分绩点（</w:t>
      </w:r>
      <w:r>
        <w:rPr>
          <w:rFonts w:hint="eastAsia" w:ascii="仿宋" w:hAnsi="仿宋" w:eastAsia="仿宋" w:cs="仿宋"/>
          <w:kern w:val="0"/>
          <w:sz w:val="32"/>
          <w:szCs w:val="32"/>
        </w:rPr>
        <w:t>GPA</w:t>
      </w:r>
      <w:r>
        <w:rPr>
          <w:rFonts w:hint="eastAsia" w:ascii="仿宋" w:hAnsi="仿宋" w:eastAsia="仿宋" w:cs="仿宋"/>
          <w:kern w:val="0"/>
          <w:sz w:val="32"/>
          <w:szCs w:val="32"/>
          <w:lang w:val="zh-CN"/>
        </w:rPr>
        <w:t>）的计算</w:t>
      </w:r>
    </w:p>
    <w:p w14:paraId="55AABD3F">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课程学分绩点＝课程学分×课程绩点数</w:t>
      </w:r>
    </w:p>
    <w:p w14:paraId="122AF993">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 xml:space="preserve">    </w:t>
      </w:r>
      <w:r>
        <w:rPr>
          <w:rFonts w:hint="eastAsia" w:ascii="仿宋" w:hAnsi="仿宋" w:eastAsia="仿宋" w:cs="仿宋"/>
          <w:kern w:val="0"/>
          <w:position w:val="-26"/>
          <w:sz w:val="32"/>
          <w:szCs w:val="32"/>
          <w:lang w:val="zh-CN"/>
        </w:rPr>
        <w:object>
          <v:shape id="_x0000_i1025" o:spt="75" type="#_x0000_t75" style="height:37.5pt;width:352.5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p>
    <w:p w14:paraId="15B52E28">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第七章  警示与留级</w:t>
      </w:r>
    </w:p>
    <w:p w14:paraId="62B87F62">
      <w:pPr>
        <w:autoSpaceDE w:val="0"/>
        <w:autoSpaceDN w:val="0"/>
        <w:adjustRightInd w:val="0"/>
        <w:spacing w:line="560" w:lineRule="exact"/>
        <w:ind w:firstLine="643" w:firstLineChars="200"/>
        <w:rPr>
          <w:rFonts w:ascii="仿宋" w:hAnsi="仿宋" w:eastAsia="仿宋" w:cs="仿宋"/>
          <w:kern w:val="0"/>
          <w:sz w:val="32"/>
          <w:szCs w:val="32"/>
        </w:rPr>
      </w:pPr>
      <w:r>
        <w:rPr>
          <w:rFonts w:hint="eastAsia" w:ascii="仿宋" w:hAnsi="仿宋" w:eastAsia="仿宋" w:cs="仿宋"/>
          <w:b/>
          <w:kern w:val="0"/>
          <w:sz w:val="32"/>
          <w:szCs w:val="32"/>
          <w:lang w:val="zh-CN"/>
        </w:rPr>
        <w:t>第三十一条</w:t>
      </w:r>
      <w:r>
        <w:rPr>
          <w:rFonts w:hint="eastAsia" w:ascii="仿宋" w:hAnsi="仿宋" w:eastAsia="仿宋" w:cs="仿宋"/>
          <w:kern w:val="0"/>
          <w:sz w:val="32"/>
          <w:szCs w:val="32"/>
          <w:lang w:val="zh-CN"/>
        </w:rPr>
        <w:t xml:space="preserve">  根据学生修读课程考核不及格的具体情况，学校分别给予其课程警示、学业警示、留级和退学处理。</w:t>
      </w:r>
    </w:p>
    <w:p w14:paraId="5AFBBE0C">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第三十二条</w:t>
      </w:r>
      <w:r>
        <w:rPr>
          <w:rFonts w:hint="eastAsia" w:ascii="仿宋" w:hAnsi="仿宋" w:eastAsia="仿宋" w:cs="仿宋"/>
          <w:kern w:val="0"/>
          <w:sz w:val="32"/>
          <w:szCs w:val="32"/>
          <w:lang w:val="zh-CN"/>
        </w:rPr>
        <w:t xml:space="preserve">  每学期过半，学生有下列情形之一的，任课教师应向其口头或书面发布课程警示：</w:t>
      </w:r>
    </w:p>
    <w:p w14:paraId="06B6BE56">
      <w:pPr>
        <w:autoSpaceDE w:val="0"/>
        <w:autoSpaceDN w:val="0"/>
        <w:adjustRightInd w:val="0"/>
        <w:spacing w:line="560" w:lineRule="exact"/>
        <w:ind w:firstLine="640" w:firstLineChars="200"/>
        <w:rPr>
          <w:rFonts w:ascii="仿宋" w:hAnsi="仿宋" w:eastAsia="仿宋" w:cs="仿宋"/>
          <w:spacing w:val="-20"/>
          <w:kern w:val="0"/>
          <w:sz w:val="32"/>
          <w:szCs w:val="32"/>
          <w:lang w:val="zh-CN"/>
        </w:rPr>
      </w:pPr>
      <w:r>
        <w:rPr>
          <w:rFonts w:hint="eastAsia" w:ascii="仿宋" w:hAnsi="仿宋" w:eastAsia="仿宋" w:cs="仿宋"/>
          <w:kern w:val="0"/>
          <w:sz w:val="32"/>
          <w:szCs w:val="32"/>
          <w:lang w:val="zh-CN"/>
        </w:rPr>
        <w:t>（一）</w:t>
      </w:r>
      <w:r>
        <w:rPr>
          <w:rFonts w:hint="eastAsia" w:ascii="仿宋" w:hAnsi="仿宋" w:eastAsia="仿宋" w:cs="仿宋"/>
          <w:spacing w:val="-20"/>
          <w:kern w:val="0"/>
          <w:sz w:val="32"/>
          <w:szCs w:val="32"/>
          <w:lang w:val="zh-CN"/>
        </w:rPr>
        <w:t>自每学期开课以来，无故旷课累计达三次以上（含）的；</w:t>
      </w:r>
    </w:p>
    <w:p w14:paraId="2BB092E7">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（二）自每学期开课以来，无故未完成作业（含实验报告）次数累计达四分之一以上（含）的。</w:t>
      </w:r>
    </w:p>
    <w:p w14:paraId="30008175">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被课程警示的学生，自被警示之日起，须主动约见任课教师，并制定课程补学计划，杜绝旷课和未完成作业（含实验报告）等情形再次发生，并在此后上课时主动向任课教师报到。</w:t>
      </w:r>
    </w:p>
    <w:p w14:paraId="1E7341AB">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第三十三条</w:t>
      </w:r>
      <w:r>
        <w:rPr>
          <w:rFonts w:hint="eastAsia" w:ascii="仿宋" w:hAnsi="仿宋" w:eastAsia="仿宋" w:cs="仿宋"/>
          <w:kern w:val="0"/>
          <w:sz w:val="32"/>
          <w:szCs w:val="32"/>
          <w:lang w:val="zh-CN"/>
        </w:rPr>
        <w:t xml:space="preserve">  每学期结束后，学院应对在该学期内所修课程或专业培养方案规定的应修课程的学分有三分之一以上（含）未获得的学生，发布学业警示，并通知其家长。已降级学生的重修学年不再参与警示计算。</w:t>
      </w:r>
    </w:p>
    <w:p w14:paraId="46AB00A2">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第三十四条</w:t>
      </w:r>
      <w:r>
        <w:rPr>
          <w:rFonts w:hint="eastAsia" w:ascii="仿宋" w:hAnsi="仿宋" w:eastAsia="仿宋" w:cs="仿宋"/>
          <w:kern w:val="0"/>
          <w:sz w:val="32"/>
          <w:szCs w:val="32"/>
          <w:lang w:val="zh-CN"/>
        </w:rPr>
        <w:t xml:space="preserve">  学生有下列情形之一的，学校对其予以留级处理：</w:t>
      </w:r>
    </w:p>
    <w:p w14:paraId="29441394">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（一）第一学年结束后，该学年所修课程或专业培养方案规定的应修课程的学分累计有二分之一以上（含）未获得的；</w:t>
      </w:r>
    </w:p>
    <w:p w14:paraId="33AFEE9B">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（二）第二学年结束后，前两年所修课程或专业培养方案规定的应修课程的学分累计有三分之一以上（含）未获得的；</w:t>
      </w:r>
    </w:p>
    <w:p w14:paraId="7F6181FA">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（三）第三学年结束后，前三年所修课程或专业培养方案规定的应修课程的学分累计有四分之一以上（含）未获得的；</w:t>
      </w:r>
    </w:p>
    <w:p w14:paraId="5AC45392">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第八章  休学、复学和退学</w:t>
      </w:r>
    </w:p>
    <w:p w14:paraId="38C6FCB4">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 xml:space="preserve">第三十五条  </w:t>
      </w:r>
      <w:r>
        <w:rPr>
          <w:rFonts w:hint="eastAsia" w:ascii="仿宋" w:hAnsi="仿宋" w:eastAsia="仿宋" w:cs="仿宋"/>
          <w:kern w:val="0"/>
          <w:sz w:val="32"/>
          <w:szCs w:val="32"/>
          <w:lang w:val="zh-CN"/>
        </w:rPr>
        <w:t>学生申请休学经学校批准或学校认为应当休学的，其休学期限一般为</w:t>
      </w:r>
      <w:r>
        <w:rPr>
          <w:rFonts w:hint="eastAsia" w:ascii="仿宋" w:hAnsi="仿宋" w:eastAsia="仿宋" w:cs="仿宋"/>
          <w:kern w:val="0"/>
          <w:sz w:val="32"/>
          <w:szCs w:val="32"/>
        </w:rPr>
        <w:t>一</w:t>
      </w:r>
      <w:r>
        <w:rPr>
          <w:rFonts w:hint="eastAsia" w:ascii="仿宋" w:hAnsi="仿宋" w:eastAsia="仿宋" w:cs="仿宋"/>
          <w:kern w:val="0"/>
          <w:sz w:val="32"/>
          <w:szCs w:val="32"/>
          <w:lang w:val="zh-CN"/>
        </w:rPr>
        <w:t>学年，最多可休学两次，累计休学时间不得超过两年。学生因创业原因休学，最多可申请休学4次，累计休学时间不得超过4年。</w:t>
      </w:r>
    </w:p>
    <w:p w14:paraId="44D9581D">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休学时间以学生休学申请被批准之日起计算。</w:t>
      </w:r>
    </w:p>
    <w:p w14:paraId="61161864">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第三十六条</w:t>
      </w:r>
      <w:r>
        <w:rPr>
          <w:rFonts w:hint="eastAsia" w:ascii="仿宋" w:hAnsi="仿宋" w:eastAsia="仿宋" w:cs="仿宋"/>
          <w:kern w:val="0"/>
          <w:sz w:val="32"/>
          <w:szCs w:val="32"/>
          <w:lang w:val="zh-CN"/>
        </w:rPr>
        <w:t xml:space="preserve">  学生有下列情况之一的，可以申请休学，学校也可以认定其应当休学：</w:t>
      </w:r>
    </w:p>
    <w:p w14:paraId="27B29596">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（一）因伤或因病，经学校指定的二级甲等以上医院诊断，需停课治疗或休养，时间将占一学期总学时三分之一以上的；</w:t>
      </w:r>
    </w:p>
    <w:p w14:paraId="09216C7E">
      <w:pPr>
        <w:autoSpaceDE w:val="0"/>
        <w:autoSpaceDN w:val="0"/>
        <w:adjustRightInd w:val="0"/>
        <w:spacing w:line="560" w:lineRule="exact"/>
        <w:ind w:firstLine="640" w:firstLineChars="200"/>
        <w:rPr>
          <w:rFonts w:ascii="仿宋" w:hAnsi="仿宋" w:eastAsia="仿宋" w:cs="仿宋"/>
          <w:kern w:val="0"/>
          <w:sz w:val="32"/>
          <w:szCs w:val="32"/>
          <w:lang w:val="zh-CN"/>
        </w:rPr>
      </w:pPr>
      <w:bookmarkStart w:id="6" w:name="_Hlk488692991"/>
      <w:r>
        <w:rPr>
          <w:rFonts w:hint="eastAsia" w:ascii="仿宋" w:hAnsi="仿宋" w:eastAsia="仿宋" w:cs="仿宋"/>
          <w:kern w:val="0"/>
          <w:sz w:val="32"/>
          <w:szCs w:val="32"/>
          <w:lang w:val="zh-CN"/>
        </w:rPr>
        <w:t>（二）一学期内因病或因事等请假，需超过或累计已超过该学期总学时三分之一以上的；</w:t>
      </w:r>
      <w:bookmarkEnd w:id="6"/>
    </w:p>
    <w:p w14:paraId="624BDECF">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（三）非公派自费出国（境）留学的；</w:t>
      </w:r>
    </w:p>
    <w:p w14:paraId="13AF9E84">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（四）申请创业的；</w:t>
      </w:r>
    </w:p>
    <w:p w14:paraId="5360F655">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（五）因其他原因申请休学经学校批准，或学校认为应当休学的。</w:t>
      </w:r>
    </w:p>
    <w:p w14:paraId="49D7068D">
      <w:pPr>
        <w:autoSpaceDE w:val="0"/>
        <w:autoSpaceDN w:val="0"/>
        <w:adjustRightInd w:val="0"/>
        <w:spacing w:line="560" w:lineRule="exact"/>
        <w:ind w:firstLine="643" w:firstLineChars="200"/>
        <w:rPr>
          <w:rFonts w:ascii="仿宋" w:hAnsi="仿宋" w:eastAsia="仿宋" w:cs="仿宋"/>
          <w:kern w:val="0"/>
          <w:sz w:val="32"/>
          <w:szCs w:val="32"/>
        </w:rPr>
      </w:pPr>
      <w:r>
        <w:rPr>
          <w:rFonts w:hint="eastAsia" w:ascii="仿宋" w:hAnsi="仿宋" w:eastAsia="仿宋" w:cs="仿宋"/>
          <w:b/>
          <w:kern w:val="0"/>
          <w:sz w:val="32"/>
          <w:szCs w:val="32"/>
          <w:lang w:val="zh-CN"/>
        </w:rPr>
        <w:t>第三十七条</w:t>
      </w:r>
      <w:r>
        <w:rPr>
          <w:rFonts w:hint="eastAsia" w:ascii="仿宋" w:hAnsi="仿宋" w:eastAsia="仿宋" w:cs="仿宋"/>
          <w:kern w:val="0"/>
          <w:sz w:val="32"/>
          <w:szCs w:val="32"/>
          <w:lang w:val="zh-CN"/>
        </w:rPr>
        <w:t xml:space="preserve">  学生休学的相关事宜，按下列规定办理：</w:t>
      </w:r>
    </w:p>
    <w:p w14:paraId="592329BC">
      <w:pPr>
        <w:autoSpaceDE w:val="0"/>
        <w:autoSpaceDN w:val="0"/>
        <w:adjustRightInd w:val="0"/>
        <w:spacing w:line="560" w:lineRule="exact"/>
        <w:ind w:right="25"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一）休学一般应在开学后两周内办理。申请者提出书面申请及相关有效证明材料，所在学院对相关材料进行审核并出具意见，报教务处批准（创业休学应经学院、学生处和教务处联合认定审批），方可办理休学手续。学校认为必须休学而学生本人未提出申请的，由学院提出休学意见，报教务处批准后，办理其休学手续。休学手续办理完成后，由教务处出具休学证明；</w:t>
      </w:r>
    </w:p>
    <w:p w14:paraId="3504FB52">
      <w:pPr>
        <w:autoSpaceDE w:val="0"/>
        <w:autoSpaceDN w:val="0"/>
        <w:adjustRightInd w:val="0"/>
        <w:spacing w:line="560" w:lineRule="exact"/>
        <w:ind w:right="25"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（二）对被批准休学的学生，学校为其保留学籍。学生在办理休学手续后，应及时离校，学校不对学生在休学期间发生的行为及其产生的后果负责；</w:t>
      </w:r>
    </w:p>
    <w:p w14:paraId="1B2A5374">
      <w:pPr>
        <w:autoSpaceDE w:val="0"/>
        <w:autoSpaceDN w:val="0"/>
        <w:adjustRightInd w:val="0"/>
        <w:spacing w:line="560" w:lineRule="exact"/>
        <w:ind w:right="25"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（三）学生休学期间，户口不迁出学校，不享受在校学习学生的待遇，不具有享受助学金、助学贷款和各类补助以及评选奖学金的资格；</w:t>
      </w:r>
    </w:p>
    <w:p w14:paraId="41D05ABD">
      <w:pPr>
        <w:autoSpaceDE w:val="0"/>
        <w:autoSpaceDN w:val="0"/>
        <w:adjustRightInd w:val="0"/>
        <w:spacing w:line="560" w:lineRule="exact"/>
        <w:ind w:right="25"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（四）学生休学期间的医疗费等事宜按国家、北京市的相关规定及《北京工商大学学生公费医疗管理办法》办理。</w:t>
      </w:r>
    </w:p>
    <w:p w14:paraId="7135D714">
      <w:pPr>
        <w:autoSpaceDE w:val="0"/>
        <w:autoSpaceDN w:val="0"/>
        <w:adjustRightInd w:val="0"/>
        <w:spacing w:line="560" w:lineRule="exact"/>
        <w:ind w:right="25"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第三十八条</w:t>
      </w:r>
      <w:r>
        <w:rPr>
          <w:rFonts w:hint="eastAsia" w:ascii="仿宋" w:hAnsi="仿宋" w:eastAsia="仿宋" w:cs="仿宋"/>
          <w:kern w:val="0"/>
          <w:sz w:val="32"/>
          <w:szCs w:val="32"/>
          <w:lang w:val="zh-CN"/>
        </w:rPr>
        <w:t xml:space="preserve">  学生应征参加中国人民解放军（含中国人民武装警察部队），学校保留其学籍至退役后两年，并按学生入伍当年国家和学校的相关规定办理。</w:t>
      </w:r>
    </w:p>
    <w:p w14:paraId="398912FA">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学生参加学校组织的跨校联合培养项目，在联合培养学校学习期间，学校同时为其保留学籍。</w:t>
      </w:r>
    </w:p>
    <w:p w14:paraId="5AA9CC46">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学生保留学籍期间，各项日常事务由其服役单位或培养单位负责，学校不对学生在保留学籍期间发生的行为及其产生的后果负责。</w:t>
      </w:r>
    </w:p>
    <w:p w14:paraId="3F0E6FE6">
      <w:pPr>
        <w:autoSpaceDE w:val="0"/>
        <w:autoSpaceDN w:val="0"/>
        <w:adjustRightInd w:val="0"/>
        <w:spacing w:line="560" w:lineRule="exact"/>
        <w:ind w:firstLine="643" w:firstLineChars="200"/>
        <w:rPr>
          <w:rFonts w:ascii="仿宋" w:hAnsi="仿宋" w:eastAsia="仿宋" w:cs="仿宋"/>
          <w:kern w:val="0"/>
          <w:sz w:val="32"/>
          <w:szCs w:val="32"/>
        </w:rPr>
      </w:pPr>
      <w:r>
        <w:rPr>
          <w:rFonts w:hint="eastAsia" w:ascii="仿宋" w:hAnsi="仿宋" w:eastAsia="仿宋" w:cs="仿宋"/>
          <w:b/>
          <w:kern w:val="0"/>
          <w:sz w:val="32"/>
          <w:szCs w:val="32"/>
          <w:lang w:val="zh-CN"/>
        </w:rPr>
        <w:t>第三十九条</w:t>
      </w:r>
      <w:r>
        <w:rPr>
          <w:rFonts w:hint="eastAsia" w:ascii="仿宋" w:hAnsi="仿宋" w:eastAsia="仿宋" w:cs="仿宋"/>
          <w:kern w:val="0"/>
          <w:sz w:val="32"/>
          <w:szCs w:val="32"/>
          <w:lang w:val="zh-CN"/>
        </w:rPr>
        <w:t xml:space="preserve">  休学学生最迟应于休学期满之日起1周内提出书面复学申请，经所在学院审核同意，教务处批准后，方可办理复学手续。</w:t>
      </w:r>
    </w:p>
    <w:p w14:paraId="27E7958F">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因伤或因病休学的学生申请复学时，须附学校指定的二级甲等以上医院出具的诊断，证明其已恢复健康，并能坚持正常生活和学习。</w:t>
      </w:r>
    </w:p>
    <w:p w14:paraId="7A6161F7">
      <w:pPr>
        <w:autoSpaceDE w:val="0"/>
        <w:autoSpaceDN w:val="0"/>
        <w:adjustRightInd w:val="0"/>
        <w:spacing w:line="560" w:lineRule="exact"/>
        <w:ind w:firstLine="640" w:firstLineChars="200"/>
        <w:rPr>
          <w:rFonts w:ascii="仿宋" w:hAnsi="仿宋" w:eastAsia="仿宋" w:cs="仿宋"/>
          <w:kern w:val="0"/>
          <w:sz w:val="32"/>
          <w:szCs w:val="32"/>
          <w:lang w:val="zh-CN"/>
        </w:rPr>
      </w:pPr>
      <w:bookmarkStart w:id="7" w:name="_Hlk488694115"/>
      <w:r>
        <w:rPr>
          <w:rFonts w:hint="eastAsia" w:ascii="仿宋" w:hAnsi="仿宋" w:eastAsia="仿宋" w:cs="仿宋"/>
          <w:kern w:val="0"/>
          <w:sz w:val="32"/>
          <w:szCs w:val="32"/>
          <w:lang w:val="zh-CN"/>
        </w:rPr>
        <w:t>学生应征参加中国人民解放军（含中国人民武装警察部队），复学和保留学籍事宜按学生入伍当年国家和学校的相关规定办理。</w:t>
      </w:r>
    </w:p>
    <w:bookmarkEnd w:id="7"/>
    <w:p w14:paraId="04F84AD4">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第四十条</w:t>
      </w:r>
      <w:r>
        <w:rPr>
          <w:rFonts w:hint="eastAsia" w:ascii="仿宋" w:hAnsi="仿宋" w:eastAsia="仿宋" w:cs="仿宋"/>
          <w:kern w:val="0"/>
          <w:sz w:val="32"/>
          <w:szCs w:val="32"/>
          <w:lang w:val="zh-CN"/>
        </w:rPr>
        <w:t xml:space="preserve">  学校依照接续学业原则安排复学的学生就读，复学的学生一般应编入原专业休学时所在的年级学习。学生申请复学时，若原专业已调整、合并或中断招生，由本人提出申请，所在学院出具意见，经教务处批准后，可转到相近专业进行学习。</w:t>
      </w:r>
    </w:p>
    <w:p w14:paraId="445B5180">
      <w:pPr>
        <w:autoSpaceDE w:val="0"/>
        <w:autoSpaceDN w:val="0"/>
        <w:adjustRightInd w:val="0"/>
        <w:spacing w:line="560" w:lineRule="exact"/>
        <w:ind w:firstLine="643" w:firstLineChars="200"/>
        <w:rPr>
          <w:rFonts w:ascii="仿宋" w:hAnsi="仿宋" w:eastAsia="仿宋" w:cs="仿宋"/>
          <w:kern w:val="0"/>
          <w:sz w:val="32"/>
          <w:szCs w:val="32"/>
        </w:rPr>
      </w:pPr>
      <w:r>
        <w:rPr>
          <w:rFonts w:hint="eastAsia" w:ascii="仿宋" w:hAnsi="仿宋" w:eastAsia="仿宋" w:cs="仿宋"/>
          <w:b/>
          <w:kern w:val="0"/>
          <w:sz w:val="32"/>
          <w:szCs w:val="32"/>
          <w:lang w:val="zh-CN"/>
        </w:rPr>
        <w:t>第四十一条</w:t>
      </w:r>
      <w:r>
        <w:rPr>
          <w:rFonts w:hint="eastAsia" w:ascii="仿宋" w:hAnsi="仿宋" w:eastAsia="仿宋" w:cs="仿宋"/>
          <w:kern w:val="0"/>
          <w:sz w:val="32"/>
          <w:szCs w:val="32"/>
          <w:lang w:val="zh-CN"/>
        </w:rPr>
        <w:t xml:space="preserve">  学生有下列情形之一的，学校对其予以退学处理，并注销学籍：</w:t>
      </w:r>
    </w:p>
    <w:p w14:paraId="7E5274F6">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（一）新生入学第一学期未取得修读学分10学分及以上，且涉及课程4门次及以上不及格的；</w:t>
      </w:r>
    </w:p>
    <w:p w14:paraId="3C5DFCED">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w:t>
      </w:r>
      <w:r>
        <w:rPr>
          <w:rFonts w:hint="eastAsia" w:ascii="仿宋" w:hAnsi="仿宋" w:eastAsia="仿宋" w:cs="仿宋"/>
          <w:kern w:val="0"/>
          <w:sz w:val="32"/>
          <w:szCs w:val="32"/>
        </w:rPr>
        <w:t>二</w:t>
      </w:r>
      <w:r>
        <w:rPr>
          <w:rFonts w:hint="eastAsia" w:ascii="仿宋" w:hAnsi="仿宋" w:eastAsia="仿宋" w:cs="仿宋"/>
          <w:kern w:val="0"/>
          <w:sz w:val="32"/>
          <w:szCs w:val="32"/>
          <w:lang w:val="zh-CN"/>
        </w:rPr>
        <w:t>）在学校规定的最长学习年限内未完成学业的；</w:t>
      </w:r>
    </w:p>
    <w:p w14:paraId="7CBCD7CD">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w:t>
      </w:r>
      <w:r>
        <w:rPr>
          <w:rFonts w:hint="eastAsia" w:ascii="仿宋" w:hAnsi="仿宋" w:eastAsia="仿宋" w:cs="仿宋"/>
          <w:kern w:val="0"/>
          <w:sz w:val="32"/>
          <w:szCs w:val="32"/>
        </w:rPr>
        <w:t>三</w:t>
      </w:r>
      <w:r>
        <w:rPr>
          <w:rFonts w:hint="eastAsia" w:ascii="仿宋" w:hAnsi="仿宋" w:eastAsia="仿宋" w:cs="仿宋"/>
          <w:kern w:val="0"/>
          <w:sz w:val="32"/>
          <w:szCs w:val="32"/>
          <w:lang w:val="zh-CN"/>
        </w:rPr>
        <w:t>）超过学校规定期限，无正当理由未注册，而又未履行暂缓注册手续的；</w:t>
      </w:r>
    </w:p>
    <w:p w14:paraId="73AFCD27">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w:t>
      </w:r>
      <w:r>
        <w:rPr>
          <w:rFonts w:hint="eastAsia" w:ascii="仿宋" w:hAnsi="仿宋" w:eastAsia="仿宋" w:cs="仿宋"/>
          <w:kern w:val="0"/>
          <w:sz w:val="32"/>
          <w:szCs w:val="32"/>
        </w:rPr>
        <w:t>四</w:t>
      </w:r>
      <w:r>
        <w:rPr>
          <w:rFonts w:hint="eastAsia" w:ascii="仿宋" w:hAnsi="仿宋" w:eastAsia="仿宋" w:cs="仿宋"/>
          <w:kern w:val="0"/>
          <w:sz w:val="32"/>
          <w:szCs w:val="32"/>
          <w:lang w:val="zh-CN"/>
        </w:rPr>
        <w:t xml:space="preserve">）休学、保留学籍期满，在学校规定期限内未提出复学申请或者申请复学经复查不合格的； </w:t>
      </w:r>
    </w:p>
    <w:p w14:paraId="3A5E50C6">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w:t>
      </w:r>
      <w:r>
        <w:rPr>
          <w:rFonts w:hint="eastAsia" w:ascii="仿宋" w:hAnsi="仿宋" w:eastAsia="仿宋" w:cs="仿宋"/>
          <w:kern w:val="0"/>
          <w:sz w:val="32"/>
          <w:szCs w:val="32"/>
        </w:rPr>
        <w:t>五</w:t>
      </w:r>
      <w:r>
        <w:rPr>
          <w:rFonts w:hint="eastAsia" w:ascii="仿宋" w:hAnsi="仿宋" w:eastAsia="仿宋" w:cs="仿宋"/>
          <w:kern w:val="0"/>
          <w:sz w:val="32"/>
          <w:szCs w:val="32"/>
          <w:lang w:val="zh-CN"/>
        </w:rPr>
        <w:t>）在休学期间严重违法乱纪的、伪造复学证明材料的，或由学校认定应取消复学资格，按退学处理的其他行为的；</w:t>
      </w:r>
    </w:p>
    <w:p w14:paraId="4F4D7C4B">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w:t>
      </w:r>
      <w:r>
        <w:rPr>
          <w:rFonts w:hint="eastAsia" w:ascii="仿宋" w:hAnsi="仿宋" w:eastAsia="仿宋" w:cs="仿宋"/>
          <w:kern w:val="0"/>
          <w:sz w:val="32"/>
          <w:szCs w:val="32"/>
        </w:rPr>
        <w:t>六</w:t>
      </w:r>
      <w:r>
        <w:rPr>
          <w:rFonts w:hint="eastAsia" w:ascii="仿宋" w:hAnsi="仿宋" w:eastAsia="仿宋" w:cs="仿宋"/>
          <w:kern w:val="0"/>
          <w:sz w:val="32"/>
          <w:szCs w:val="32"/>
          <w:lang w:val="zh-CN"/>
        </w:rPr>
        <w:t>）未经批准连续两周未参加学校规定的教学活动的；</w:t>
      </w:r>
    </w:p>
    <w:p w14:paraId="6AA62435">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w:t>
      </w:r>
      <w:r>
        <w:rPr>
          <w:rFonts w:hint="eastAsia" w:ascii="仿宋" w:hAnsi="仿宋" w:eastAsia="仿宋" w:cs="仿宋"/>
          <w:kern w:val="0"/>
          <w:sz w:val="32"/>
          <w:szCs w:val="32"/>
        </w:rPr>
        <w:t>七</w:t>
      </w:r>
      <w:r>
        <w:rPr>
          <w:rFonts w:hint="eastAsia" w:ascii="仿宋" w:hAnsi="仿宋" w:eastAsia="仿宋" w:cs="仿宋"/>
          <w:kern w:val="0"/>
          <w:sz w:val="32"/>
          <w:szCs w:val="32"/>
          <w:lang w:val="zh-CN"/>
        </w:rPr>
        <w:t>）经学校查实，属弄虚作假、徇私舞弊而取得学籍的；</w:t>
      </w:r>
    </w:p>
    <w:p w14:paraId="02C7F2BA">
      <w:pPr>
        <w:autoSpaceDE w:val="0"/>
        <w:autoSpaceDN w:val="0"/>
        <w:adjustRightInd w:val="0"/>
        <w:spacing w:line="560" w:lineRule="exact"/>
        <w:ind w:firstLine="640" w:firstLineChars="200"/>
        <w:rPr>
          <w:rFonts w:ascii="仿宋" w:hAnsi="仿宋" w:eastAsia="仿宋" w:cs="仿宋"/>
          <w:kern w:val="0"/>
          <w:sz w:val="32"/>
          <w:szCs w:val="32"/>
          <w:lang w:val="zh-CN"/>
        </w:rPr>
      </w:pPr>
      <w:bookmarkStart w:id="8" w:name="_Hlk488694485"/>
      <w:r>
        <w:rPr>
          <w:rFonts w:hint="eastAsia" w:ascii="仿宋" w:hAnsi="仿宋" w:eastAsia="仿宋" w:cs="仿宋"/>
          <w:kern w:val="0"/>
          <w:sz w:val="32"/>
          <w:szCs w:val="32"/>
          <w:lang w:val="zh-CN"/>
        </w:rPr>
        <w:t>（</w:t>
      </w:r>
      <w:r>
        <w:rPr>
          <w:rFonts w:hint="eastAsia" w:ascii="仿宋" w:hAnsi="仿宋" w:eastAsia="仿宋" w:cs="仿宋"/>
          <w:kern w:val="0"/>
          <w:sz w:val="32"/>
          <w:szCs w:val="32"/>
        </w:rPr>
        <w:t>八</w:t>
      </w:r>
      <w:r>
        <w:rPr>
          <w:rFonts w:hint="eastAsia" w:ascii="仿宋" w:hAnsi="仿宋" w:eastAsia="仿宋" w:cs="仿宋"/>
          <w:kern w:val="0"/>
          <w:sz w:val="32"/>
          <w:szCs w:val="32"/>
          <w:lang w:val="zh-CN"/>
        </w:rPr>
        <w:t>）根据学校指定医院诊断，患有疾病或意外伤残不能继续在校学习的；</w:t>
      </w:r>
      <w:bookmarkEnd w:id="8"/>
    </w:p>
    <w:p w14:paraId="4BB78B82">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w:t>
      </w:r>
      <w:r>
        <w:rPr>
          <w:rFonts w:hint="eastAsia" w:ascii="仿宋" w:hAnsi="仿宋" w:eastAsia="仿宋" w:cs="仿宋"/>
          <w:kern w:val="0"/>
          <w:sz w:val="32"/>
          <w:szCs w:val="32"/>
        </w:rPr>
        <w:t>九</w:t>
      </w:r>
      <w:r>
        <w:rPr>
          <w:rFonts w:hint="eastAsia" w:ascii="仿宋" w:hAnsi="仿宋" w:eastAsia="仿宋" w:cs="仿宋"/>
          <w:kern w:val="0"/>
          <w:sz w:val="32"/>
          <w:szCs w:val="32"/>
          <w:lang w:val="zh-CN"/>
        </w:rPr>
        <w:t>）其他应予以退学的情形。</w:t>
      </w:r>
    </w:p>
    <w:p w14:paraId="5B6FCE13">
      <w:pPr>
        <w:autoSpaceDE w:val="0"/>
        <w:autoSpaceDN w:val="0"/>
        <w:adjustRightInd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因以上情形予以退学的，由校长办公会或者校长授权的专门会议研究决定。因学业原因退学的，由教务处出具意见。</w:t>
      </w:r>
    </w:p>
    <w:p w14:paraId="6B418332">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第四十二条</w:t>
      </w:r>
      <w:r>
        <w:rPr>
          <w:rFonts w:hint="eastAsia" w:ascii="仿宋" w:hAnsi="仿宋" w:eastAsia="仿宋" w:cs="仿宋"/>
          <w:kern w:val="0"/>
          <w:sz w:val="32"/>
          <w:szCs w:val="32"/>
          <w:lang w:val="zh-CN"/>
        </w:rPr>
        <w:t xml:space="preserve">  退学学生的退学决定应当直接送达学生本人，学生拒绝签收的，可以以留置方式送达；已离校的，可以采取邮寄方式送达；难于联系的，可以利用学校网站、新闻媒体等以公告方式送达。退学决定自送达之日起生效。学生应在退学决定送达之日起</w:t>
      </w:r>
      <w:r>
        <w:rPr>
          <w:rFonts w:hint="eastAsia" w:ascii="仿宋" w:hAnsi="仿宋" w:eastAsia="仿宋" w:cs="仿宋"/>
          <w:kern w:val="0"/>
          <w:sz w:val="32"/>
          <w:szCs w:val="32"/>
        </w:rPr>
        <w:t>10</w:t>
      </w:r>
      <w:r>
        <w:rPr>
          <w:rFonts w:hint="eastAsia" w:ascii="仿宋" w:hAnsi="仿宋" w:eastAsia="仿宋" w:cs="仿宋"/>
          <w:kern w:val="0"/>
          <w:sz w:val="32"/>
          <w:szCs w:val="32"/>
          <w:lang w:val="zh-CN"/>
        </w:rPr>
        <w:t>日内办理退学手续离校，逾期未办理离校手续的，由学校有关部门注销其在校的各种关系。</w:t>
      </w:r>
    </w:p>
    <w:p w14:paraId="4B52FC44">
      <w:pPr>
        <w:autoSpaceDE w:val="0"/>
        <w:autoSpaceDN w:val="0"/>
        <w:adjustRightInd w:val="0"/>
        <w:spacing w:line="560" w:lineRule="exact"/>
        <w:ind w:firstLine="643" w:firstLineChars="200"/>
        <w:rPr>
          <w:rFonts w:ascii="仿宋" w:hAnsi="仿宋" w:eastAsia="仿宋" w:cs="仿宋"/>
          <w:kern w:val="0"/>
          <w:sz w:val="32"/>
          <w:szCs w:val="32"/>
          <w:lang w:val="zh-CN"/>
        </w:rPr>
      </w:pPr>
      <w:bookmarkStart w:id="9" w:name="_Hlk488694656"/>
      <w:r>
        <w:rPr>
          <w:rFonts w:hint="eastAsia" w:ascii="仿宋" w:hAnsi="仿宋" w:eastAsia="仿宋" w:cs="仿宋"/>
          <w:b/>
          <w:kern w:val="0"/>
          <w:sz w:val="32"/>
          <w:szCs w:val="32"/>
          <w:lang w:val="zh-CN"/>
        </w:rPr>
        <w:t>第四十三条</w:t>
      </w:r>
      <w:r>
        <w:rPr>
          <w:rFonts w:hint="eastAsia" w:ascii="仿宋" w:hAnsi="仿宋" w:eastAsia="仿宋" w:cs="仿宋"/>
          <w:kern w:val="0"/>
          <w:sz w:val="32"/>
          <w:szCs w:val="32"/>
          <w:lang w:val="zh-CN"/>
        </w:rPr>
        <w:t xml:space="preserve">  学生对退学决定有异议的，可以在接到退学决定之日起10日内，向学校学生申诉处理委员会提出书面申诉，具体申诉事宜参照《北京工商大学学生违纪处分程序的若干规定》执行。</w:t>
      </w:r>
    </w:p>
    <w:bookmarkEnd w:id="9"/>
    <w:p w14:paraId="49A49425">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第四十四条</w:t>
      </w:r>
      <w:r>
        <w:rPr>
          <w:rFonts w:hint="eastAsia" w:ascii="仿宋" w:hAnsi="仿宋" w:eastAsia="仿宋" w:cs="仿宋"/>
          <w:b/>
          <w:kern w:val="0"/>
          <w:sz w:val="32"/>
          <w:szCs w:val="32"/>
        </w:rPr>
        <w:t xml:space="preserve">  </w:t>
      </w:r>
      <w:r>
        <w:rPr>
          <w:rFonts w:hint="eastAsia" w:ascii="仿宋" w:hAnsi="仿宋" w:eastAsia="仿宋" w:cs="仿宋"/>
          <w:kern w:val="0"/>
          <w:sz w:val="32"/>
          <w:szCs w:val="32"/>
          <w:lang w:val="zh-CN"/>
        </w:rPr>
        <w:t>本人申请退学的，应由学生本人提出书面申请，经所在学院审核同意，报教务处批准，办理相关退学手续，并注销学籍，学校对其出具相应的证明。</w:t>
      </w:r>
    </w:p>
    <w:p w14:paraId="49D4284E">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第四十五条</w:t>
      </w:r>
      <w:r>
        <w:rPr>
          <w:rFonts w:hint="eastAsia" w:ascii="仿宋" w:hAnsi="仿宋" w:eastAsia="仿宋" w:cs="仿宋"/>
          <w:b/>
          <w:kern w:val="0"/>
          <w:sz w:val="32"/>
          <w:szCs w:val="32"/>
        </w:rPr>
        <w:t xml:space="preserve">  </w:t>
      </w:r>
      <w:r>
        <w:rPr>
          <w:rFonts w:hint="eastAsia" w:ascii="仿宋" w:hAnsi="仿宋" w:eastAsia="仿宋" w:cs="仿宋"/>
          <w:kern w:val="0"/>
          <w:sz w:val="32"/>
          <w:szCs w:val="32"/>
          <w:lang w:val="zh-CN"/>
        </w:rPr>
        <w:t>退学学生的档案由学校退回其家庭所在地，户口按照国家相关规定迁回原户籍地或者家庭户籍所在地。</w:t>
      </w:r>
    </w:p>
    <w:p w14:paraId="6B1B2282">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第九章  转专业与转学</w:t>
      </w:r>
    </w:p>
    <w:p w14:paraId="0B07BDD4">
      <w:pPr>
        <w:autoSpaceDE w:val="0"/>
        <w:autoSpaceDN w:val="0"/>
        <w:adjustRightInd w:val="0"/>
        <w:spacing w:line="560" w:lineRule="exact"/>
        <w:ind w:firstLine="643" w:firstLineChars="200"/>
        <w:rPr>
          <w:rFonts w:ascii="仿宋" w:hAnsi="仿宋" w:eastAsia="仿宋" w:cs="仿宋"/>
          <w:kern w:val="0"/>
          <w:sz w:val="32"/>
          <w:szCs w:val="32"/>
        </w:rPr>
      </w:pPr>
      <w:r>
        <w:rPr>
          <w:rFonts w:hint="eastAsia" w:ascii="仿宋" w:hAnsi="仿宋" w:eastAsia="仿宋" w:cs="仿宋"/>
          <w:b/>
          <w:kern w:val="0"/>
          <w:sz w:val="32"/>
          <w:szCs w:val="32"/>
          <w:lang w:val="zh-CN"/>
        </w:rPr>
        <w:t>第四十六条</w:t>
      </w:r>
      <w:r>
        <w:rPr>
          <w:rFonts w:hint="eastAsia" w:ascii="仿宋" w:hAnsi="仿宋" w:eastAsia="仿宋" w:cs="仿宋"/>
          <w:kern w:val="0"/>
          <w:sz w:val="32"/>
          <w:szCs w:val="32"/>
          <w:lang w:val="zh-CN"/>
        </w:rPr>
        <w:t xml:space="preserve">  学生在学习期间对其他专业有兴趣和专长，并符合学校规定要求的，可以申请转专业。转专业应在第三学期开学后两周内申请，其他时间学校不予受理，且只能申请一个转入专业。</w:t>
      </w:r>
      <w:r>
        <w:rPr>
          <w:rFonts w:hint="eastAsia" w:ascii="仿宋" w:hAnsi="仿宋" w:eastAsia="仿宋" w:cs="仿宋"/>
          <w:kern w:val="0"/>
          <w:sz w:val="32"/>
          <w:szCs w:val="32"/>
        </w:rPr>
        <w:t>学生转专业工作具体按照《北京工商大学本科生转专业管理规定》执行。</w:t>
      </w:r>
    </w:p>
    <w:p w14:paraId="430A375F">
      <w:pPr>
        <w:autoSpaceDE w:val="0"/>
        <w:autoSpaceDN w:val="0"/>
        <w:adjustRightInd w:val="0"/>
        <w:spacing w:line="560" w:lineRule="exact"/>
        <w:ind w:firstLine="643" w:firstLineChars="200"/>
        <w:rPr>
          <w:rFonts w:ascii="仿宋" w:hAnsi="仿宋" w:eastAsia="仿宋" w:cs="仿宋"/>
          <w:sz w:val="32"/>
          <w:szCs w:val="32"/>
        </w:rPr>
      </w:pPr>
      <w:r>
        <w:rPr>
          <w:rFonts w:hint="eastAsia" w:ascii="仿宋" w:hAnsi="仿宋" w:eastAsia="仿宋" w:cs="仿宋"/>
          <w:b/>
          <w:kern w:val="0"/>
          <w:sz w:val="32"/>
          <w:szCs w:val="32"/>
          <w:lang w:val="zh-CN"/>
        </w:rPr>
        <w:t>第四十</w:t>
      </w:r>
      <w:r>
        <w:rPr>
          <w:rFonts w:hint="eastAsia" w:ascii="仿宋" w:hAnsi="仿宋" w:eastAsia="仿宋" w:cs="仿宋"/>
          <w:b/>
          <w:kern w:val="0"/>
          <w:sz w:val="32"/>
          <w:szCs w:val="32"/>
        </w:rPr>
        <w:t>七</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w:t>
      </w:r>
      <w:r>
        <w:rPr>
          <w:rFonts w:hint="eastAsia" w:ascii="仿宋" w:hAnsi="仿宋" w:eastAsia="仿宋" w:cs="仿宋"/>
          <w:sz w:val="32"/>
          <w:szCs w:val="32"/>
        </w:rPr>
        <w:t>学生一般应当在被录取学校完成学业。因患病或者有特殊困难、特别需要，无法继续在本校学习或者不适</w:t>
      </w:r>
      <w:r>
        <w:rPr>
          <w:rFonts w:hint="eastAsia" w:ascii="仿宋" w:hAnsi="仿宋" w:eastAsia="仿宋" w:cs="仿宋"/>
          <w:spacing w:val="-20"/>
          <w:sz w:val="32"/>
          <w:szCs w:val="32"/>
        </w:rPr>
        <w:t>应本校学习要求的，可以申请转学。有下列情形之一，不得转学：</w:t>
      </w:r>
    </w:p>
    <w:p w14:paraId="79FB0AAE">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（一）入学未满一学期或者毕业前一年的；</w:t>
      </w:r>
    </w:p>
    <w:p w14:paraId="2ED5A6E1">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（二）高考成绩低于拟转入学校相关专业同一生源地相应年份录取成绩的；</w:t>
      </w:r>
    </w:p>
    <w:p w14:paraId="556FCE58">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（三）由低学历层次转为高学历层次的；</w:t>
      </w:r>
    </w:p>
    <w:p w14:paraId="3D4BE02F">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（四）以定向就业招生录取的；</w:t>
      </w:r>
    </w:p>
    <w:p w14:paraId="22E4393A">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（五）无正当转学理由的。</w:t>
      </w:r>
    </w:p>
    <w:p w14:paraId="28742ADB">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学生因学校培养条件改变等非本人原因需要转出本校，学校出具证明，由北京市教育委员会协调转学到同层次学校。</w:t>
      </w:r>
    </w:p>
    <w:p w14:paraId="0B9CE3A9">
      <w:pPr>
        <w:snapToGrid w:val="0"/>
        <w:spacing w:line="560" w:lineRule="exact"/>
        <w:ind w:firstLine="643" w:firstLineChars="200"/>
        <w:rPr>
          <w:rFonts w:ascii="仿宋" w:hAnsi="仿宋" w:eastAsia="仿宋" w:cs="仿宋"/>
          <w:sz w:val="32"/>
          <w:szCs w:val="32"/>
        </w:rPr>
      </w:pPr>
      <w:r>
        <w:rPr>
          <w:rFonts w:hint="eastAsia" w:ascii="仿宋" w:hAnsi="仿宋" w:eastAsia="仿宋" w:cs="仿宋"/>
          <w:b/>
          <w:sz w:val="32"/>
          <w:szCs w:val="32"/>
        </w:rPr>
        <w:t>第</w:t>
      </w:r>
      <w:r>
        <w:rPr>
          <w:rFonts w:hint="eastAsia" w:ascii="仿宋" w:hAnsi="仿宋" w:eastAsia="仿宋" w:cs="仿宋"/>
          <w:b/>
          <w:kern w:val="0"/>
          <w:sz w:val="32"/>
          <w:szCs w:val="32"/>
          <w:lang w:val="zh-CN"/>
        </w:rPr>
        <w:t>四十</w:t>
      </w:r>
      <w:r>
        <w:rPr>
          <w:rFonts w:hint="eastAsia" w:ascii="仿宋" w:hAnsi="仿宋" w:eastAsia="仿宋" w:cs="仿宋"/>
          <w:b/>
          <w:kern w:val="0"/>
          <w:sz w:val="32"/>
          <w:szCs w:val="32"/>
        </w:rPr>
        <w:t>八</w:t>
      </w:r>
      <w:r>
        <w:rPr>
          <w:rFonts w:hint="eastAsia" w:ascii="仿宋" w:hAnsi="仿宋" w:eastAsia="仿宋" w:cs="仿宋"/>
          <w:b/>
          <w:sz w:val="32"/>
          <w:szCs w:val="32"/>
        </w:rPr>
        <w:t>条</w:t>
      </w:r>
      <w:r>
        <w:rPr>
          <w:rFonts w:hint="eastAsia" w:ascii="仿宋" w:hAnsi="仿宋" w:eastAsia="仿宋" w:cs="仿宋"/>
          <w:sz w:val="32"/>
          <w:szCs w:val="32"/>
        </w:rPr>
        <w:t xml:space="preserve"> 学校按照国家有关规定，严格执行有关学生转学的审批手续，对转学的政策、程序、结果进行公开。</w:t>
      </w:r>
    </w:p>
    <w:p w14:paraId="1CD6848B">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拟转入或转出的学生，应由学生本人提出申请，说明理由，教务处对拟转入或转出我校学生的相关材料进行审核。学校校长办公会或者专题会议研究决定是否同意转入或转出，表决情况如实记入会议纪要。对拟转入或转出本校学生的相关信息，通过学校网站进行不少于5日的公示。对转入我校的学生，在其转学完成后3个月内，由学校报北京市教育委员会备案。转学学生应按学校相关规定办理转学手续。</w:t>
      </w:r>
    </w:p>
    <w:p w14:paraId="6CA77A2C">
      <w:pPr>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跨省转学的，除按前款相关规定执行外，由转出地省级教育行政部门商转入地省级教育行政部门，按转学条件确认后办理转学手续。须转户口的由转入地省级教育行政部门将有关文件抄送转入学校所在地的公安机关。</w:t>
      </w:r>
    </w:p>
    <w:p w14:paraId="7006D43B">
      <w:pPr>
        <w:snapToGrid w:val="0"/>
        <w:spacing w:line="560" w:lineRule="exact"/>
        <w:ind w:firstLine="643" w:firstLineChars="200"/>
        <w:rPr>
          <w:rFonts w:ascii="仿宋" w:hAnsi="仿宋" w:eastAsia="仿宋" w:cs="仿宋"/>
          <w:kern w:val="0"/>
          <w:sz w:val="32"/>
          <w:szCs w:val="32"/>
        </w:rPr>
      </w:pPr>
      <w:r>
        <w:rPr>
          <w:rFonts w:hint="eastAsia" w:ascii="仿宋" w:hAnsi="仿宋" w:eastAsia="仿宋" w:cs="仿宋"/>
          <w:b/>
          <w:sz w:val="32"/>
          <w:szCs w:val="32"/>
        </w:rPr>
        <w:t>第</w:t>
      </w:r>
      <w:r>
        <w:rPr>
          <w:rFonts w:hint="eastAsia" w:ascii="仿宋" w:hAnsi="仿宋" w:eastAsia="仿宋" w:cs="仿宋"/>
          <w:b/>
          <w:kern w:val="0"/>
          <w:sz w:val="32"/>
          <w:szCs w:val="32"/>
          <w:lang w:val="zh-CN"/>
        </w:rPr>
        <w:t>四十</w:t>
      </w:r>
      <w:r>
        <w:rPr>
          <w:rFonts w:hint="eastAsia" w:ascii="仿宋" w:hAnsi="仿宋" w:eastAsia="仿宋" w:cs="仿宋"/>
          <w:b/>
          <w:kern w:val="0"/>
          <w:sz w:val="32"/>
          <w:szCs w:val="32"/>
        </w:rPr>
        <w:t>九</w:t>
      </w:r>
      <w:r>
        <w:rPr>
          <w:rFonts w:hint="eastAsia" w:ascii="仿宋" w:hAnsi="仿宋" w:eastAsia="仿宋" w:cs="仿宋"/>
          <w:b/>
          <w:sz w:val="32"/>
          <w:szCs w:val="32"/>
        </w:rPr>
        <w:t xml:space="preserve">条 </w:t>
      </w:r>
      <w:r>
        <w:rPr>
          <w:rFonts w:hint="eastAsia" w:ascii="仿宋" w:hAnsi="仿宋" w:eastAsia="仿宋" w:cs="仿宋"/>
          <w:sz w:val="32"/>
          <w:szCs w:val="32"/>
        </w:rPr>
        <w:t>学生转入本校后，须修满所学专业培养方案规定的内容和学分，达到学校毕业要求的，方可毕业。具体课程类别、学分认定和学分转换等事宜按学校规定执行。</w:t>
      </w:r>
    </w:p>
    <w:p w14:paraId="5108CB27">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第十章  毕业、结业与肄业</w:t>
      </w:r>
    </w:p>
    <w:p w14:paraId="59666A69">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第五十条</w:t>
      </w:r>
      <w:r>
        <w:rPr>
          <w:rFonts w:hint="eastAsia" w:ascii="仿宋" w:hAnsi="仿宋" w:eastAsia="仿宋" w:cs="仿宋"/>
          <w:kern w:val="0"/>
          <w:sz w:val="32"/>
          <w:szCs w:val="32"/>
          <w:lang w:val="zh-CN"/>
        </w:rPr>
        <w:t xml:space="preserve">  学生在学校规定的最长学习年限内，修完专业培养方案规定的内容和学分，成绩合格，通过相应标准的毕业资格审核，达到学校毕业要求的，予以毕业，由学校颁发毕业证书。符合学士学位授予条件的，经本人申请，学院学位评定委员会、教务处和学校学位评定委员会三级审核通过，由学校颁发学士学位证书。攻读第二学士学位的学生，凡在规定修业年限内，修完规定课程并取得学分，获得毕业和学士学位授予资格的，可授予第二学士学位。具体按照《北京工商大学学士学位授予办法》执行。</w:t>
      </w:r>
    </w:p>
    <w:p w14:paraId="490D36C7">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w:t>
      </w:r>
      <w:r>
        <w:rPr>
          <w:rFonts w:hint="eastAsia" w:ascii="仿宋" w:hAnsi="仿宋" w:eastAsia="仿宋" w:cs="仿宋"/>
          <w:b/>
          <w:kern w:val="0"/>
          <w:sz w:val="32"/>
          <w:szCs w:val="32"/>
        </w:rPr>
        <w:t>一</w:t>
      </w:r>
      <w:r>
        <w:rPr>
          <w:rFonts w:hint="eastAsia" w:ascii="仿宋" w:hAnsi="仿宋" w:eastAsia="仿宋" w:cs="仿宋"/>
          <w:b/>
          <w:kern w:val="0"/>
          <w:sz w:val="32"/>
          <w:szCs w:val="32"/>
          <w:lang w:val="zh-CN"/>
        </w:rPr>
        <w:t xml:space="preserve">条 </w:t>
      </w:r>
      <w:r>
        <w:rPr>
          <w:rFonts w:hint="eastAsia" w:ascii="仿宋" w:hAnsi="仿宋" w:eastAsia="仿宋" w:cs="仿宋"/>
          <w:kern w:val="0"/>
          <w:sz w:val="32"/>
          <w:szCs w:val="32"/>
          <w:lang w:val="zh-CN"/>
        </w:rPr>
        <w:t xml:space="preserve"> 学生完成专业学习后，以学院为单位根据其学习成绩和毕业鉴定等材料，对其进行毕业资格和学位授予条件的审核和鉴定，并向教务处统一提交毕业资格和学位授予条件审核表。攻读第二学士学位的学生在申请参加毕业资格和学位授予条件审核时，应向教务处提供第一学历学位认证的原件，不能提供原件的，不得申请参加审核。</w:t>
      </w:r>
    </w:p>
    <w:p w14:paraId="1AFB5B12">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w:t>
      </w:r>
      <w:r>
        <w:rPr>
          <w:rFonts w:hint="eastAsia" w:ascii="仿宋" w:hAnsi="仿宋" w:eastAsia="仿宋" w:cs="仿宋"/>
          <w:b/>
          <w:kern w:val="0"/>
          <w:sz w:val="32"/>
          <w:szCs w:val="32"/>
        </w:rPr>
        <w:t>二</w:t>
      </w:r>
      <w:r>
        <w:rPr>
          <w:rFonts w:hint="eastAsia" w:ascii="仿宋" w:hAnsi="仿宋" w:eastAsia="仿宋" w:cs="仿宋"/>
          <w:b/>
          <w:kern w:val="0"/>
          <w:sz w:val="32"/>
          <w:szCs w:val="32"/>
          <w:lang w:val="zh-CN"/>
        </w:rPr>
        <w:t xml:space="preserve">条 </w:t>
      </w:r>
      <w:r>
        <w:rPr>
          <w:rFonts w:hint="eastAsia" w:ascii="仿宋" w:hAnsi="仿宋" w:eastAsia="仿宋" w:cs="仿宋"/>
          <w:kern w:val="0"/>
          <w:sz w:val="32"/>
          <w:szCs w:val="32"/>
          <w:lang w:val="zh-CN"/>
        </w:rPr>
        <w:t xml:space="preserve"> 在对学生进行毕业资格和学位授予条件审核过程中，课程成绩和学分审核应严格按照专业培养方案规定的学业标准进行。经学校批准中途调整专业的学生，其毕业资格和学位授予条件的审核原则上应按照调整后所在年级专业的培养方案规定的学业标准执行；复学学生的毕业资格和学位授予条件的审核原则上应按照复学时所在年级专业的培养方案规定的学业标准执行；联合培养学生的毕业资格和学位授予条件的审核原则上应按照学生所在年级专业的培养方案标准和学校的相关规定执行。</w:t>
      </w:r>
    </w:p>
    <w:p w14:paraId="37E16ECC">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w:t>
      </w:r>
      <w:r>
        <w:rPr>
          <w:rFonts w:hint="eastAsia" w:ascii="仿宋" w:hAnsi="仿宋" w:eastAsia="仿宋" w:cs="仿宋"/>
          <w:b/>
          <w:kern w:val="0"/>
          <w:sz w:val="32"/>
          <w:szCs w:val="32"/>
        </w:rPr>
        <w:t>三</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学生提前完成教育教学计划规定内容，获得毕业所要求的学分，可以申请提前毕业。申请提前毕业的学生，应在第六学期开学后两周内向所在学院提出书面申请，经学院审核同意，报教务处批准后列入当届毕业生管理，并按照本人原所在年级的专业培养方案的标准进行毕业资格和学位授予条件的审核。转专业学生申请提前毕业且符合条件的，按照本人转入的所在年级专业的培养方案的标准进行毕业资格和学位授予条件的审核。申请提前毕业的学生，修满规定的学分并符合</w:t>
      </w:r>
      <w:r>
        <w:rPr>
          <w:rFonts w:hint="eastAsia" w:ascii="仿宋" w:hAnsi="仿宋" w:eastAsia="仿宋" w:cs="仿宋"/>
          <w:kern w:val="0"/>
          <w:sz w:val="32"/>
          <w:szCs w:val="32"/>
        </w:rPr>
        <w:t>本规定</w:t>
      </w:r>
      <w:r>
        <w:rPr>
          <w:rFonts w:hint="eastAsia" w:ascii="仿宋" w:hAnsi="仿宋" w:eastAsia="仿宋" w:cs="仿宋"/>
          <w:kern w:val="0"/>
          <w:sz w:val="32"/>
          <w:szCs w:val="32"/>
          <w:lang w:val="zh-CN"/>
        </w:rPr>
        <w:t>的，准予提前毕业，未能达到毕业要求的，按结业处理。</w:t>
      </w:r>
    </w:p>
    <w:p w14:paraId="5E6456DC">
      <w:pPr>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w:t>
      </w:r>
      <w:r>
        <w:rPr>
          <w:rFonts w:hint="eastAsia" w:ascii="仿宋" w:hAnsi="仿宋" w:eastAsia="仿宋" w:cs="仿宋"/>
          <w:b/>
          <w:kern w:val="0"/>
          <w:sz w:val="32"/>
          <w:szCs w:val="32"/>
        </w:rPr>
        <w:t>五十四</w:t>
      </w:r>
      <w:r>
        <w:rPr>
          <w:rFonts w:hint="eastAsia" w:ascii="仿宋" w:hAnsi="仿宋" w:eastAsia="仿宋" w:cs="仿宋"/>
          <w:b/>
          <w:kern w:val="0"/>
          <w:sz w:val="32"/>
          <w:szCs w:val="32"/>
          <w:lang w:val="zh-CN"/>
        </w:rPr>
        <w:t>条</w:t>
      </w:r>
      <w:r>
        <w:rPr>
          <w:rFonts w:hint="eastAsia" w:ascii="仿宋_GB2312" w:hAnsi="宋体" w:eastAsia="仿宋_GB2312" w:cs="黑体"/>
          <w:kern w:val="0"/>
          <w:sz w:val="32"/>
          <w:szCs w:val="32"/>
          <w:lang w:val="zh-CN"/>
        </w:rPr>
        <w:t xml:space="preserve">  </w:t>
      </w:r>
      <w:r>
        <w:rPr>
          <w:rFonts w:hint="eastAsia" w:ascii="仿宋" w:hAnsi="仿宋" w:eastAsia="仿宋" w:cs="仿宋"/>
          <w:kern w:val="0"/>
          <w:sz w:val="32"/>
          <w:szCs w:val="32"/>
          <w:lang w:val="zh-CN"/>
        </w:rPr>
        <w:t>学生在学校规定的最长学习年限内，学完教育教学计划规定的全部课程，但未获得学校毕业要求学分的，学校可发给其结业证书。</w:t>
      </w:r>
    </w:p>
    <w:p w14:paraId="4A650C17">
      <w:pPr>
        <w:spacing w:line="56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lang w:val="zh-CN"/>
        </w:rPr>
        <w:t>凡修读第二学士学位的学生，应在两年内修完专业培养方案规定的课程和学分，通过相应标准的毕业资格审核，符合学士学位授予条件的，授予其第二学士学位；</w:t>
      </w:r>
      <w:r>
        <w:rPr>
          <w:rFonts w:hint="eastAsia" w:ascii="仿宋" w:hAnsi="仿宋" w:eastAsia="仿宋" w:cs="仿宋"/>
          <w:kern w:val="0"/>
          <w:sz w:val="32"/>
          <w:szCs w:val="32"/>
        </w:rPr>
        <w:t>达不到学校毕业、学位授予要求的，不再延长学习时间，亦不实行留级制度，学校可发给其结业证书。</w:t>
      </w:r>
    </w:p>
    <w:p w14:paraId="218DA3DA">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w:t>
      </w:r>
      <w:r>
        <w:rPr>
          <w:rFonts w:hint="eastAsia" w:ascii="仿宋" w:hAnsi="仿宋" w:eastAsia="仿宋" w:cs="仿宋"/>
          <w:b/>
          <w:kern w:val="0"/>
          <w:sz w:val="32"/>
          <w:szCs w:val="32"/>
        </w:rPr>
        <w:t>五</w:t>
      </w:r>
      <w:r>
        <w:rPr>
          <w:rFonts w:hint="eastAsia" w:ascii="仿宋" w:hAnsi="仿宋" w:eastAsia="仿宋" w:cs="仿宋"/>
          <w:b/>
          <w:kern w:val="0"/>
          <w:sz w:val="32"/>
          <w:szCs w:val="32"/>
          <w:lang w:val="zh-CN"/>
        </w:rPr>
        <w:t xml:space="preserve">条 </w:t>
      </w:r>
      <w:r>
        <w:rPr>
          <w:rFonts w:hint="eastAsia" w:ascii="仿宋" w:hAnsi="仿宋" w:eastAsia="仿宋" w:cs="仿宋"/>
          <w:kern w:val="0"/>
          <w:sz w:val="32"/>
          <w:szCs w:val="32"/>
          <w:lang w:val="zh-CN"/>
        </w:rPr>
        <w:t xml:space="preserve"> 学生结业离校后，可申请以进修生身份返校修读未通过的课程，在学校规定的最长学习年限内完成课程学习，成绩合格，达到毕业要求的，由本人提出书面申请，经学院审核，学校批准后，准予换发毕业证书。符合学士学位授予条件的，由本人提出书面申请，经学院审核，学校批准后，颁发学士学位证书。毕业证书中的毕业时间、学位证书中的学位授予时间，按发证日期填写。</w:t>
      </w:r>
    </w:p>
    <w:p w14:paraId="51D39F56">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w:t>
      </w:r>
      <w:r>
        <w:rPr>
          <w:rFonts w:hint="eastAsia" w:ascii="仿宋" w:hAnsi="仿宋" w:eastAsia="仿宋" w:cs="仿宋"/>
          <w:b/>
          <w:kern w:val="0"/>
          <w:sz w:val="32"/>
          <w:szCs w:val="32"/>
        </w:rPr>
        <w:t>六</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在校学习累计满一年（含）以上，未修完专业培养方案规定的全部内容和学分、未受到开除学籍处理，且经学校批准，按学校规定办理完退学手续的学生，学校可发给肄业证书。在校学习不满一年的或者开除学籍的，发给写实性学习证明。</w:t>
      </w:r>
    </w:p>
    <w:p w14:paraId="3E948879">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第十一章 学业证书管理</w:t>
      </w:r>
    </w:p>
    <w:p w14:paraId="634468D0">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w:t>
      </w:r>
      <w:r>
        <w:rPr>
          <w:rFonts w:hint="eastAsia" w:ascii="仿宋" w:hAnsi="仿宋" w:eastAsia="仿宋" w:cs="仿宋"/>
          <w:b/>
          <w:kern w:val="0"/>
          <w:sz w:val="32"/>
          <w:szCs w:val="32"/>
        </w:rPr>
        <w:t>七</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学校按照教育部的规定设计、印制学业证书，并严格按照招生时确定的办学类型和学习形式，以及学生招生录取时填报的个人信息，填写、颁发学历证书、学位证书及其他学业证书。</w:t>
      </w:r>
    </w:p>
    <w:p w14:paraId="5275F21E">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学生在校期间变更姓名、出生日期等证书需填写的个人信息时，应当有合理、充分的理由，并提供有法定效力的相应证明文件。</w:t>
      </w:r>
    </w:p>
    <w:p w14:paraId="11D63AB9">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w:t>
      </w:r>
      <w:r>
        <w:rPr>
          <w:rFonts w:hint="eastAsia" w:ascii="仿宋" w:hAnsi="仿宋" w:eastAsia="仿宋" w:cs="仿宋"/>
          <w:b/>
          <w:kern w:val="0"/>
          <w:sz w:val="32"/>
          <w:szCs w:val="32"/>
        </w:rPr>
        <w:t>八</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学校执行高等教育学籍学历电子注册管理制度，完善学籍学历信息管理办法，按相关规定及时完成学生学籍学历电子注册。</w:t>
      </w:r>
    </w:p>
    <w:p w14:paraId="62978C2B">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第五十</w:t>
      </w:r>
      <w:r>
        <w:rPr>
          <w:rFonts w:hint="eastAsia" w:ascii="仿宋" w:hAnsi="仿宋" w:eastAsia="仿宋" w:cs="仿宋"/>
          <w:b/>
          <w:kern w:val="0"/>
          <w:sz w:val="32"/>
          <w:szCs w:val="32"/>
        </w:rPr>
        <w:t>九</w:t>
      </w:r>
      <w:r>
        <w:rPr>
          <w:rFonts w:hint="eastAsia" w:ascii="仿宋" w:hAnsi="仿宋" w:eastAsia="仿宋" w:cs="仿宋"/>
          <w:b/>
          <w:kern w:val="0"/>
          <w:sz w:val="32"/>
          <w:szCs w:val="32"/>
          <w:lang w:val="zh-CN"/>
        </w:rPr>
        <w:t xml:space="preserve">条 </w:t>
      </w:r>
      <w:r>
        <w:rPr>
          <w:rFonts w:hint="eastAsia" w:ascii="仿宋" w:hAnsi="仿宋" w:eastAsia="仿宋" w:cs="仿宋"/>
          <w:kern w:val="0"/>
          <w:sz w:val="32"/>
          <w:szCs w:val="32"/>
          <w:lang w:val="zh-CN"/>
        </w:rPr>
        <w:t xml:space="preserve"> 学历证书和学位证书遗失或损坏，不予补发，经学生本人提出书面申请，学校核实后出具相应证明书，证明书与原证书具有同等效力。</w:t>
      </w:r>
    </w:p>
    <w:p w14:paraId="6AE939F7">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第六十条</w:t>
      </w:r>
      <w:r>
        <w:rPr>
          <w:rFonts w:hint="eastAsia" w:ascii="仿宋" w:hAnsi="仿宋" w:eastAsia="仿宋" w:cs="仿宋"/>
          <w:kern w:val="0"/>
          <w:sz w:val="32"/>
          <w:szCs w:val="32"/>
          <w:lang w:val="zh-CN"/>
        </w:rPr>
        <w:t xml:space="preserve">  对违反国家招生规定取得入学资格或者学籍的，学校将按规定取消其学籍，不发给学历证书、学位证书；已发的学历证书、学位证书，学校将依法予以撤销。对以作弊、剽窃、抄袭等学术不端行为或者其他不正当手段获得学历证书、学位证书的，学校将依法予以撤销。</w:t>
      </w:r>
    </w:p>
    <w:p w14:paraId="1061AB99">
      <w:pPr>
        <w:autoSpaceDE w:val="0"/>
        <w:autoSpaceDN w:val="0"/>
        <w:spacing w:line="560" w:lineRule="exact"/>
        <w:ind w:firstLine="640" w:firstLineChars="200"/>
        <w:rPr>
          <w:rFonts w:ascii="仿宋" w:hAnsi="仿宋" w:eastAsia="仿宋" w:cs="仿宋"/>
          <w:kern w:val="0"/>
          <w:sz w:val="32"/>
          <w:szCs w:val="32"/>
          <w:lang w:val="zh-CN"/>
        </w:rPr>
      </w:pPr>
      <w:r>
        <w:rPr>
          <w:rFonts w:hint="eastAsia" w:ascii="仿宋" w:hAnsi="仿宋" w:eastAsia="仿宋" w:cs="仿宋"/>
          <w:kern w:val="0"/>
          <w:sz w:val="32"/>
          <w:szCs w:val="32"/>
          <w:lang w:val="zh-CN"/>
        </w:rPr>
        <w:t>被撤销的学历证书、学位证书已注册的，学校将予以注销并报教育行政部门宣布无效。</w:t>
      </w:r>
    </w:p>
    <w:p w14:paraId="0E00D198">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第十二章  辅修与国（境）内跨校修读</w:t>
      </w:r>
    </w:p>
    <w:p w14:paraId="507572DC">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w:t>
      </w:r>
      <w:r>
        <w:rPr>
          <w:rFonts w:hint="eastAsia" w:ascii="仿宋" w:hAnsi="仿宋" w:eastAsia="仿宋" w:cs="仿宋"/>
          <w:b/>
          <w:kern w:val="0"/>
          <w:sz w:val="32"/>
          <w:szCs w:val="32"/>
        </w:rPr>
        <w:t>一</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学生根据自身情况，在保证本专业学习的前提下，可申请从第二学年起开始辅修跨学科专业或者选修其他专业课程。具体按《北京工商大学本科生辅修管理规定》执行。</w:t>
      </w:r>
    </w:p>
    <w:p w14:paraId="44C43611">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w:t>
      </w:r>
      <w:r>
        <w:rPr>
          <w:rFonts w:hint="eastAsia" w:ascii="仿宋" w:hAnsi="仿宋" w:eastAsia="仿宋" w:cs="仿宋"/>
          <w:b/>
          <w:kern w:val="0"/>
          <w:sz w:val="32"/>
          <w:szCs w:val="32"/>
        </w:rPr>
        <w:t>二</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学生根据学校与国（境）内其他学校的协议内容，由本人提出申请，经所在学院和教务处批准后，方可跨校修读课程。跨校修读课程的类别、学分认定和学分折算，按学校相关规定执行。对跨校修读的本专业培养方案中所列课程的学分，经学院审核同意，报教务处批准认定后，可冲抵学校本专业培养方案中学生应修的相应课程的学分，由教务处记载成绩。对跨校修读的本专业培养方案中未列课程的学分，可转为学校相应的通识选修课学分。</w:t>
      </w:r>
    </w:p>
    <w:p w14:paraId="365B0357">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第十三章  出国（境）学习</w:t>
      </w:r>
    </w:p>
    <w:p w14:paraId="5C9C004A">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w:t>
      </w:r>
      <w:r>
        <w:rPr>
          <w:rFonts w:hint="eastAsia" w:ascii="仿宋" w:hAnsi="仿宋" w:eastAsia="仿宋" w:cs="仿宋"/>
          <w:b/>
          <w:kern w:val="0"/>
          <w:sz w:val="32"/>
          <w:szCs w:val="32"/>
        </w:rPr>
        <w:t>三</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个人申请自费出国（境）学习的，按学校有关规定办理休学或退学手续。申请休学或退学的，由学生本人提出书面申请，经所在学院审核同意，报教务处批准后方可办理休学或退学手续。休学或退学的具体要求按照本规定第八章的相关规定执行。</w:t>
      </w:r>
    </w:p>
    <w:p w14:paraId="67C3EEFF">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w:t>
      </w:r>
      <w:r>
        <w:rPr>
          <w:rFonts w:hint="eastAsia" w:ascii="仿宋" w:hAnsi="仿宋" w:eastAsia="仿宋" w:cs="仿宋"/>
          <w:b/>
          <w:kern w:val="0"/>
          <w:sz w:val="32"/>
          <w:szCs w:val="32"/>
        </w:rPr>
        <w:t>四</w:t>
      </w:r>
      <w:r>
        <w:rPr>
          <w:rFonts w:hint="eastAsia" w:ascii="仿宋" w:hAnsi="仿宋" w:eastAsia="仿宋" w:cs="仿宋"/>
          <w:b/>
          <w:kern w:val="0"/>
          <w:sz w:val="32"/>
          <w:szCs w:val="32"/>
          <w:lang w:val="zh-CN"/>
        </w:rPr>
        <w:t xml:space="preserve">条 </w:t>
      </w:r>
      <w:r>
        <w:rPr>
          <w:rFonts w:hint="eastAsia" w:ascii="仿宋" w:hAnsi="仿宋" w:eastAsia="仿宋" w:cs="仿宋"/>
          <w:kern w:val="0"/>
          <w:sz w:val="32"/>
          <w:szCs w:val="32"/>
          <w:lang w:val="zh-CN"/>
        </w:rPr>
        <w:t xml:space="preserve"> 根据学校与国（境）外学校的校际交流协议选派到国（境）外高校学习的学生为交换生。交换生出国（境）学习期间学校为其保留学籍，出国（境）学习期满无故逾期未归的，按学校相关规定和学校与交换生的约定或协议处理。</w:t>
      </w:r>
    </w:p>
    <w:p w14:paraId="62B49DDA">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w:t>
      </w:r>
      <w:r>
        <w:rPr>
          <w:rFonts w:hint="eastAsia" w:ascii="仿宋" w:hAnsi="仿宋" w:eastAsia="仿宋" w:cs="仿宋"/>
          <w:b/>
          <w:kern w:val="0"/>
          <w:sz w:val="32"/>
          <w:szCs w:val="32"/>
        </w:rPr>
        <w:t>五</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交换生出国（境）学习修读的课程类别、学分认定和学分折算按学校有关规定执行。</w:t>
      </w:r>
    </w:p>
    <w:p w14:paraId="46189FA4">
      <w:pPr>
        <w:autoSpaceDE w:val="0"/>
        <w:autoSpaceDN w:val="0"/>
        <w:adjustRightInd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w:t>
      </w:r>
      <w:r>
        <w:rPr>
          <w:rFonts w:hint="eastAsia" w:ascii="仿宋" w:hAnsi="仿宋" w:eastAsia="仿宋" w:cs="仿宋"/>
          <w:b/>
          <w:kern w:val="0"/>
          <w:sz w:val="32"/>
          <w:szCs w:val="32"/>
        </w:rPr>
        <w:t>六</w:t>
      </w:r>
      <w:r>
        <w:rPr>
          <w:rFonts w:hint="eastAsia" w:ascii="仿宋" w:hAnsi="仿宋" w:eastAsia="仿宋" w:cs="仿宋"/>
          <w:b/>
          <w:kern w:val="0"/>
          <w:sz w:val="32"/>
          <w:szCs w:val="32"/>
          <w:lang w:val="zh-CN"/>
        </w:rPr>
        <w:t>条</w:t>
      </w:r>
      <w:r>
        <w:rPr>
          <w:rFonts w:hint="eastAsia" w:ascii="仿宋" w:hAnsi="仿宋" w:eastAsia="仿宋" w:cs="仿宋"/>
          <w:kern w:val="0"/>
          <w:sz w:val="32"/>
          <w:szCs w:val="32"/>
          <w:lang w:val="zh-CN"/>
        </w:rPr>
        <w:t xml:space="preserve">  参加北京高等学校高水平人才交叉培养计划项目的学生学习修读的课程类别、学分认定和学分折算按北京市和学校有关规定执行。</w:t>
      </w:r>
    </w:p>
    <w:p w14:paraId="39B1428D">
      <w:pPr>
        <w:autoSpaceDE w:val="0"/>
        <w:autoSpaceDN w:val="0"/>
        <w:adjustRightInd w:val="0"/>
        <w:spacing w:line="560" w:lineRule="exact"/>
        <w:jc w:val="center"/>
        <w:rPr>
          <w:rFonts w:ascii="黑体" w:hAnsi="黑体" w:eastAsia="黑体" w:cs="黑体"/>
          <w:kern w:val="0"/>
          <w:sz w:val="32"/>
          <w:szCs w:val="32"/>
          <w:lang w:val="zh-CN"/>
        </w:rPr>
      </w:pPr>
      <w:r>
        <w:rPr>
          <w:rFonts w:hint="eastAsia" w:ascii="黑体" w:hAnsi="黑体" w:eastAsia="黑体" w:cs="黑体"/>
          <w:kern w:val="0"/>
          <w:sz w:val="32"/>
          <w:szCs w:val="32"/>
          <w:lang w:val="zh-CN"/>
        </w:rPr>
        <w:t>第十四章  附则</w:t>
      </w:r>
    </w:p>
    <w:p w14:paraId="6052EB3F">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w:t>
      </w:r>
      <w:r>
        <w:rPr>
          <w:rFonts w:hint="eastAsia" w:ascii="仿宋" w:hAnsi="仿宋" w:eastAsia="仿宋" w:cs="仿宋"/>
          <w:b/>
          <w:kern w:val="0"/>
          <w:sz w:val="32"/>
          <w:szCs w:val="32"/>
        </w:rPr>
        <w:t>七</w:t>
      </w:r>
      <w:r>
        <w:rPr>
          <w:rFonts w:hint="eastAsia" w:ascii="仿宋" w:hAnsi="仿宋" w:eastAsia="仿宋" w:cs="仿宋"/>
          <w:b/>
          <w:kern w:val="0"/>
          <w:sz w:val="32"/>
          <w:szCs w:val="32"/>
          <w:lang w:val="zh-CN"/>
        </w:rPr>
        <w:t xml:space="preserve">条 </w:t>
      </w:r>
      <w:r>
        <w:rPr>
          <w:rFonts w:hint="eastAsia" w:ascii="仿宋" w:hAnsi="仿宋" w:eastAsia="仿宋" w:cs="仿宋"/>
          <w:kern w:val="0"/>
          <w:sz w:val="32"/>
          <w:szCs w:val="32"/>
          <w:lang w:val="zh-CN"/>
        </w:rPr>
        <w:t xml:space="preserve"> 在校学习的第二学士学位学生、本科留学生的学籍管理参照本规定执行。</w:t>
      </w:r>
    </w:p>
    <w:p w14:paraId="6817A96D">
      <w:pPr>
        <w:autoSpaceDE w:val="0"/>
        <w:autoSpaceDN w:val="0"/>
        <w:spacing w:line="560" w:lineRule="exact"/>
        <w:ind w:firstLine="643" w:firstLineChars="200"/>
        <w:rPr>
          <w:rFonts w:ascii="仿宋" w:hAnsi="仿宋" w:eastAsia="仿宋" w:cs="仿宋"/>
          <w:kern w:val="0"/>
          <w:sz w:val="32"/>
          <w:szCs w:val="32"/>
          <w:lang w:val="zh-CN"/>
        </w:rPr>
      </w:pPr>
      <w:r>
        <w:rPr>
          <w:rFonts w:hint="eastAsia" w:ascii="仿宋" w:hAnsi="仿宋" w:eastAsia="仿宋" w:cs="仿宋"/>
          <w:b/>
          <w:kern w:val="0"/>
          <w:sz w:val="32"/>
          <w:szCs w:val="32"/>
          <w:lang w:val="zh-CN"/>
        </w:rPr>
        <w:t>第六十</w:t>
      </w:r>
      <w:r>
        <w:rPr>
          <w:rFonts w:hint="eastAsia" w:ascii="仿宋" w:hAnsi="仿宋" w:eastAsia="仿宋" w:cs="仿宋"/>
          <w:b/>
          <w:kern w:val="0"/>
          <w:sz w:val="32"/>
          <w:szCs w:val="32"/>
        </w:rPr>
        <w:t>八</w:t>
      </w:r>
      <w:r>
        <w:rPr>
          <w:rFonts w:hint="eastAsia" w:ascii="仿宋" w:hAnsi="仿宋" w:eastAsia="仿宋" w:cs="仿宋"/>
          <w:b/>
          <w:kern w:val="0"/>
          <w:sz w:val="32"/>
          <w:szCs w:val="32"/>
          <w:lang w:val="zh-CN"/>
        </w:rPr>
        <w:t xml:space="preserve">条 </w:t>
      </w:r>
      <w:r>
        <w:rPr>
          <w:rFonts w:hint="eastAsia" w:ascii="仿宋" w:hAnsi="仿宋" w:eastAsia="仿宋" w:cs="仿宋"/>
          <w:b/>
          <w:kern w:val="0"/>
          <w:sz w:val="32"/>
          <w:szCs w:val="32"/>
        </w:rPr>
        <w:t xml:space="preserve"> </w:t>
      </w:r>
      <w:r>
        <w:rPr>
          <w:rFonts w:hint="eastAsia" w:ascii="仿宋" w:hAnsi="仿宋" w:eastAsia="仿宋" w:cs="仿宋"/>
          <w:kern w:val="0"/>
          <w:sz w:val="32"/>
          <w:szCs w:val="32"/>
          <w:lang w:val="zh-CN"/>
        </w:rPr>
        <w:t>本规定由教务处负责解释，自20</w:t>
      </w:r>
      <w:r>
        <w:rPr>
          <w:rFonts w:hint="eastAsia" w:ascii="仿宋" w:hAnsi="仿宋" w:eastAsia="仿宋" w:cs="仿宋"/>
          <w:kern w:val="0"/>
          <w:sz w:val="32"/>
          <w:szCs w:val="32"/>
        </w:rPr>
        <w:t>21</w:t>
      </w:r>
      <w:r>
        <w:rPr>
          <w:rFonts w:hint="eastAsia" w:ascii="仿宋" w:hAnsi="仿宋" w:eastAsia="仿宋" w:cs="仿宋"/>
          <w:kern w:val="0"/>
          <w:sz w:val="32"/>
          <w:szCs w:val="32"/>
          <w:lang w:val="zh-CN"/>
        </w:rPr>
        <w:t>年9月1日起施行。原《北京工商大学</w:t>
      </w:r>
      <w:r>
        <w:rPr>
          <w:rFonts w:hint="eastAsia" w:ascii="仿宋" w:hAnsi="仿宋" w:eastAsia="仿宋" w:cs="仿宋"/>
          <w:kern w:val="0"/>
          <w:sz w:val="32"/>
          <w:szCs w:val="32"/>
        </w:rPr>
        <w:t>本科生</w:t>
      </w:r>
      <w:r>
        <w:rPr>
          <w:rFonts w:hint="eastAsia" w:ascii="仿宋" w:hAnsi="仿宋" w:eastAsia="仿宋" w:cs="仿宋"/>
          <w:kern w:val="0"/>
          <w:sz w:val="32"/>
          <w:szCs w:val="32"/>
          <w:lang w:val="zh-CN"/>
        </w:rPr>
        <w:t>学籍管理办法》同时废止。其他有关文件规定与本规定不一致的，以本规定为准。</w:t>
      </w:r>
    </w:p>
    <w:p w14:paraId="3CF68CC1">
      <w:pPr>
        <w:rPr>
          <w:rFonts w:ascii="仿宋_GB2312" w:hAnsi="宋体" w:eastAsia="仿宋_GB2312" w:cs="宋体"/>
          <w:kern w:val="0"/>
          <w:sz w:val="32"/>
          <w:szCs w:val="32"/>
        </w:rPr>
      </w:pPr>
    </w:p>
    <w:p w14:paraId="630C5E9B">
      <w:pPr>
        <w:rPr>
          <w:rFonts w:ascii="仿宋_GB2312" w:hAnsi="宋体" w:eastAsia="仿宋_GB2312" w:cs="宋体"/>
          <w:kern w:val="0"/>
          <w:sz w:val="32"/>
          <w:szCs w:val="32"/>
        </w:rPr>
      </w:pPr>
    </w:p>
    <w:p w14:paraId="1C8568AE">
      <w:pPr>
        <w:rPr>
          <w:rFonts w:ascii="仿宋_GB2312" w:hAnsi="宋体" w:eastAsia="仿宋_GB2312" w:cs="宋体"/>
          <w:sz w:val="28"/>
          <w:szCs w:val="28"/>
        </w:rPr>
      </w:pPr>
    </w:p>
    <w:p w14:paraId="635CAF10">
      <w:pPr>
        <w:rPr>
          <w:rFonts w:ascii="仿宋_GB2312" w:hAnsi="宋体" w:eastAsia="仿宋_GB2312" w:cs="宋体"/>
          <w:sz w:val="28"/>
          <w:szCs w:val="28"/>
        </w:rPr>
      </w:pPr>
    </w:p>
    <w:p w14:paraId="4DAE5307">
      <w:pPr>
        <w:rPr>
          <w:rFonts w:ascii="仿宋_GB2312" w:hAnsi="宋体" w:eastAsia="仿宋_GB2312" w:cs="宋体"/>
          <w:sz w:val="28"/>
          <w:szCs w:val="28"/>
        </w:rPr>
      </w:pPr>
    </w:p>
    <w:p w14:paraId="0D9003AC">
      <w:pPr>
        <w:rPr>
          <w:rFonts w:ascii="仿宋_GB2312" w:hAnsi="宋体" w:eastAsia="仿宋_GB2312" w:cs="宋体"/>
          <w:sz w:val="28"/>
          <w:szCs w:val="28"/>
        </w:rPr>
      </w:pPr>
    </w:p>
    <w:p w14:paraId="670B924A">
      <w:pPr>
        <w:rPr>
          <w:rFonts w:ascii="仿宋_GB2312" w:hAnsi="宋体" w:eastAsia="仿宋_GB2312" w:cs="宋体"/>
          <w:sz w:val="28"/>
          <w:szCs w:val="28"/>
        </w:rPr>
      </w:pPr>
    </w:p>
    <w:p w14:paraId="1CA0C4D0">
      <w:pPr>
        <w:rPr>
          <w:rFonts w:ascii="仿宋_GB2312" w:hAnsi="宋体" w:eastAsia="仿宋_GB2312" w:cs="宋体"/>
          <w:sz w:val="28"/>
          <w:szCs w:val="28"/>
        </w:rPr>
      </w:pPr>
    </w:p>
    <w:p w14:paraId="6947B169">
      <w:pPr>
        <w:rPr>
          <w:rFonts w:ascii="仿宋_GB2312" w:hAnsi="宋体" w:eastAsia="仿宋_GB2312" w:cs="宋体"/>
          <w:sz w:val="28"/>
          <w:szCs w:val="28"/>
        </w:rPr>
      </w:pPr>
    </w:p>
    <w:p w14:paraId="676332EC">
      <w:pPr>
        <w:rPr>
          <w:rFonts w:hint="eastAsia" w:ascii="仿宋_GB2312" w:hAnsi="宋体" w:eastAsia="仿宋_GB2312" w:cs="宋体"/>
          <w:sz w:val="28"/>
          <w:szCs w:val="28"/>
        </w:rPr>
      </w:pPr>
    </w:p>
    <w:p w14:paraId="789E950A">
      <w:pPr>
        <w:spacing w:line="600" w:lineRule="exact"/>
        <w:ind w:firstLine="210" w:firstLineChars="100"/>
        <w:rPr>
          <w:rFonts w:ascii="仿宋_GB2312" w:hAnsi="宋体" w:eastAsia="仿宋_GB2312"/>
          <w:position w:val="-6"/>
          <w:sz w:val="28"/>
          <w:szCs w:val="28"/>
        </w:rPr>
      </w:pPr>
      <w:r>
        <mc:AlternateContent>
          <mc:Choice Requires="wps">
            <w:drawing>
              <wp:anchor distT="0" distB="0" distL="114300" distR="114300" simplePos="0" relativeHeight="251659264" behindDoc="0" locked="0" layoutInCell="1" allowOverlap="1">
                <wp:simplePos x="0" y="0"/>
                <wp:positionH relativeFrom="column">
                  <wp:posOffset>-38735</wp:posOffset>
                </wp:positionH>
                <wp:positionV relativeFrom="paragraph">
                  <wp:posOffset>107950</wp:posOffset>
                </wp:positionV>
                <wp:extent cx="5553075" cy="0"/>
                <wp:effectExtent l="0" t="0" r="28575" b="19050"/>
                <wp:wrapNone/>
                <wp:docPr id="3" name="任意多边形 3"/>
                <wp:cNvGraphicFramePr/>
                <a:graphic xmlns:a="http://schemas.openxmlformats.org/drawingml/2006/main">
                  <a:graphicData uri="http://schemas.microsoft.com/office/word/2010/wordprocessingShape">
                    <wps:wsp>
                      <wps:cNvSpPr/>
                      <wps:spPr bwMode="auto">
                        <a:xfrm>
                          <a:off x="0" y="0"/>
                          <a:ext cx="5553075" cy="0"/>
                        </a:xfrm>
                        <a:custGeom>
                          <a:avLst/>
                          <a:gdLst>
                            <a:gd name="T0" fmla="*/ 0 w 8745"/>
                            <a:gd name="T1" fmla="*/ 0 h 1"/>
                            <a:gd name="T2" fmla="*/ 8745 w 8745"/>
                            <a:gd name="T3" fmla="*/ 0 h 1"/>
                          </a:gdLst>
                          <a:ahLst/>
                          <a:cxnLst>
                            <a:cxn ang="0">
                              <a:pos x="T0" y="T1"/>
                            </a:cxn>
                            <a:cxn ang="0">
                              <a:pos x="T2" y="T3"/>
                            </a:cxn>
                          </a:cxnLst>
                          <a:rect l="0" t="0" r="r" b="b"/>
                          <a:pathLst>
                            <a:path w="8745" h="1">
                              <a:moveTo>
                                <a:pt x="0" y="0"/>
                              </a:moveTo>
                              <a:lnTo>
                                <a:pt x="8745" y="0"/>
                              </a:lnTo>
                            </a:path>
                          </a:pathLst>
                        </a:custGeom>
                        <a:solidFill>
                          <a:srgbClr val="FFFFFF"/>
                        </a:solidFill>
                        <a:ln w="12700">
                          <a:solidFill>
                            <a:srgbClr val="000000"/>
                          </a:solidFill>
                          <a:round/>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3.05pt;margin-top:8.5pt;height:0pt;width:437.25pt;z-index:251659264;mso-width-relative:page;mso-height-relative:page;" fillcolor="#FFFFFF" filled="t" stroked="t" coordsize="8745,1" o:gfxdata="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&#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Dl7VDy1AAAAAgBAAAPAAAAAAAAAAEAIAAAACIAAABk&#10;cnMvZG93bnJldi54bWxQSwECFAAUAAAACACHTuJAZDcumLUCAADrBQAADgAAAAAAAAABACAAAAAj&#10;AQAAZHJzL2Uyb0RvYy54bWxQSwUGAAAAAAYABgBZAQAASgYAAAAA&#10;" path="m0,0l8745,0e">
                <v:path o:connectlocs="0,0;5553075,0" o:connectangles="0,0"/>
                <v:fill on="t" focussize="0,0"/>
                <v:stroke weight="1pt" color="#000000" joinstyle="round"/>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-38735</wp:posOffset>
                </wp:positionH>
                <wp:positionV relativeFrom="paragraph">
                  <wp:posOffset>368935</wp:posOffset>
                </wp:positionV>
                <wp:extent cx="5562600" cy="9525"/>
                <wp:effectExtent l="0" t="0" r="19050" b="28575"/>
                <wp:wrapNone/>
                <wp:docPr id="1" name="任意多边形 1"/>
                <wp:cNvGraphicFramePr/>
                <a:graphic xmlns:a="http://schemas.openxmlformats.org/drawingml/2006/main">
                  <a:graphicData uri="http://schemas.microsoft.com/office/word/2010/wordprocessingShape">
                    <wps:wsp>
                      <wps:cNvSpPr/>
                      <wps:spPr bwMode="auto">
                        <a:xfrm>
                          <a:off x="0" y="0"/>
                          <a:ext cx="5562600" cy="9525"/>
                        </a:xfrm>
                        <a:custGeom>
                          <a:avLst/>
                          <a:gdLst>
                            <a:gd name="T0" fmla="*/ 0 w 8760"/>
                            <a:gd name="T1" fmla="*/ 0 h 15"/>
                            <a:gd name="T2" fmla="*/ 2147483647 w 8760"/>
                            <a:gd name="T3" fmla="*/ 6048375 h 15"/>
                            <a:gd name="T4" fmla="*/ 0 60000 65536"/>
                            <a:gd name="T5" fmla="*/ 0 60000 65536"/>
                          </a:gdLst>
                          <a:ahLst/>
                          <a:cxnLst>
                            <a:cxn ang="T4">
                              <a:pos x="T0" y="T1"/>
                            </a:cxn>
                            <a:cxn ang="T5">
                              <a:pos x="T2" y="T3"/>
                            </a:cxn>
                          </a:cxnLst>
                          <a:rect l="0" t="0" r="r" b="b"/>
                          <a:pathLst>
                            <a:path w="8760" h="15">
                              <a:moveTo>
                                <a:pt x="0" y="0"/>
                              </a:moveTo>
                              <a:lnTo>
                                <a:pt x="8760" y="15"/>
                              </a:lnTo>
                            </a:path>
                          </a:pathLst>
                        </a:custGeom>
                        <a:solidFill>
                          <a:srgbClr val="FFFFFF"/>
                        </a:solidFill>
                        <a:ln w="12700">
                          <a:solidFill>
                            <a:srgbClr val="000000"/>
                          </a:solidFill>
                          <a:round/>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3.05pt;margin-top:29.05pt;height:0.75pt;width:438pt;z-index:251660288;mso-width-relative:page;mso-height-relative:page;" fillcolor="#FFFFFF" filled="t" stroked="t" coordsize="8760,15" o:gfxdata="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wYzK41AAAAAgBAAAPAAAAAAAAAAEAIAAAACIAAABkcnMvZG93bnJl&#10;di54bWxQSwECFAAUAAAACACHTuJAAzxIC+UCAABSBgAADgAAAAAAAAABACAAAAAjAQAAZHJzL2Uy&#10;b0RvYy54bWxQSwUGAAAAAAYABgBZAQAAegYAAAAA&#10;" path="m0,0l8760,15e">
                <v:path o:connectlocs="0,0;@0,@0" o:connectangles="0,0"/>
                <v:fill on="t" focussize="0,0"/>
                <v:stroke weight="1pt" color="#000000" joinstyle="round"/>
                <v:imagedata o:title=""/>
                <o:lock v:ext="edit" aspectratio="f"/>
              </v:shape>
            </w:pict>
          </mc:Fallback>
        </mc:AlternateContent>
      </w:r>
      <w:r>
        <w:rPr>
          <w:rFonts w:hint="eastAsia" w:ascii="仿宋_GB2312" w:hAnsi="宋体" w:eastAsia="仿宋_GB2312"/>
          <w:sz w:val="28"/>
          <w:szCs w:val="28"/>
        </w:rPr>
        <w:t>北京工商大学学校办公室                2021年</w:t>
      </w:r>
      <w:r>
        <w:rPr>
          <w:rFonts w:ascii="仿宋_GB2312" w:hAnsi="宋体" w:eastAsia="仿宋_GB2312"/>
          <w:sz w:val="28"/>
          <w:szCs w:val="28"/>
        </w:rPr>
        <w:t>7</w:t>
      </w:r>
      <w:r>
        <w:rPr>
          <w:rFonts w:hint="eastAsia" w:ascii="仿宋_GB2312" w:hAnsi="宋体" w:eastAsia="仿宋_GB2312"/>
          <w:sz w:val="28"/>
          <w:szCs w:val="28"/>
        </w:rPr>
        <w:t>月</w:t>
      </w:r>
      <w:r>
        <w:rPr>
          <w:rFonts w:ascii="仿宋_GB2312" w:hAnsi="宋体" w:eastAsia="仿宋_GB2312"/>
          <w:sz w:val="28"/>
          <w:szCs w:val="28"/>
        </w:rPr>
        <w:t>23</w:t>
      </w:r>
      <w:r>
        <w:rPr>
          <w:rFonts w:hint="eastAsia" w:ascii="仿宋_GB2312" w:hAnsi="宋体" w:eastAsia="仿宋_GB2312"/>
          <w:sz w:val="28"/>
          <w:szCs w:val="28"/>
        </w:rPr>
        <w:t>日印发</w:t>
      </w:r>
    </w:p>
    <w:sectPr>
      <w:footerReference r:id="rId3" w:type="default"/>
      <w:pgSz w:w="12240" w:h="15840"/>
      <w:pgMar w:top="1440" w:right="1800" w:bottom="1440" w:left="1800" w:header="720" w:footer="720"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96E69E-A094-4B32-B875-24A300038C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34641EC5-54D0-46A1-9CAB-5BA26358FBF4}"/>
  </w:font>
  <w:font w:name="仿宋_GB2312">
    <w:panose1 w:val="02010609030101010101"/>
    <w:charset w:val="86"/>
    <w:family w:val="modern"/>
    <w:pitch w:val="default"/>
    <w:sig w:usb0="00000001" w:usb1="080E0000" w:usb2="00000000" w:usb3="00000000" w:csb0="00040000" w:csb1="00000000"/>
    <w:embedRegular r:id="rId3" w:fontKey="{9F7FA5CF-771F-4CC4-9A6F-BACEB33A46AA}"/>
  </w:font>
  <w:font w:name="方正小标宋简体">
    <w:panose1 w:val="02000000000000000000"/>
    <w:charset w:val="86"/>
    <w:family w:val="auto"/>
    <w:pitch w:val="default"/>
    <w:sig w:usb0="00000001" w:usb1="08000000" w:usb2="00000000" w:usb3="00000000" w:csb0="00040000" w:csb1="00000000"/>
    <w:embedRegular r:id="rId4" w:fontKey="{06886597-6A4F-4737-A5BB-DB31F37BAB49}"/>
  </w:font>
  <w:font w:name="楷体">
    <w:panose1 w:val="02010609060101010101"/>
    <w:charset w:val="86"/>
    <w:family w:val="modern"/>
    <w:pitch w:val="default"/>
    <w:sig w:usb0="800002BF" w:usb1="38CF7CFA" w:usb2="00000016" w:usb3="00000000" w:csb0="00040001" w:csb1="00000000"/>
    <w:embedRegular r:id="rId5" w:fontKey="{F2527DC4-542B-459A-9013-B877DCE3C6E3}"/>
  </w:font>
  <w:font w:name="微软雅黑">
    <w:panose1 w:val="020B0503020204020204"/>
    <w:charset w:val="86"/>
    <w:family w:val="swiss"/>
    <w:pitch w:val="default"/>
    <w:sig w:usb0="80000287" w:usb1="2ACF3C50" w:usb2="00000016" w:usb3="00000000" w:csb0="0004001F" w:csb1="00000000"/>
    <w:embedRegular r:id="rId6" w:fontKey="{C77A8B17-E6D6-4DD7-942F-773B46648493}"/>
  </w:font>
  <w:font w:name="仿宋">
    <w:panose1 w:val="02010609060101010101"/>
    <w:charset w:val="86"/>
    <w:family w:val="modern"/>
    <w:pitch w:val="default"/>
    <w:sig w:usb0="800002BF" w:usb1="38CF7CFA" w:usb2="00000016" w:usb3="00000000" w:csb0="00040001" w:csb1="00000000"/>
    <w:embedRegular r:id="rId7" w:fontKey="{44A7DFE8-FC9E-4473-80D8-0E42F5163A0C}"/>
  </w:font>
  <w:font w:name="WPSEMBED7">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FD881">
    <w:pPr>
      <w:pStyle w:val="3"/>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- 21 -</w:t>
    </w:r>
    <w:r>
      <w:rPr>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5B"/>
    <w:rsid w:val="000F6BD6"/>
    <w:rsid w:val="00125BCA"/>
    <w:rsid w:val="00140C34"/>
    <w:rsid w:val="00141757"/>
    <w:rsid w:val="001736EC"/>
    <w:rsid w:val="00202583"/>
    <w:rsid w:val="002422E1"/>
    <w:rsid w:val="002B2260"/>
    <w:rsid w:val="002F6623"/>
    <w:rsid w:val="00307017"/>
    <w:rsid w:val="00313960"/>
    <w:rsid w:val="00356B1C"/>
    <w:rsid w:val="00390C84"/>
    <w:rsid w:val="003912C4"/>
    <w:rsid w:val="003E4C4A"/>
    <w:rsid w:val="003F30A9"/>
    <w:rsid w:val="0045195B"/>
    <w:rsid w:val="004B4E98"/>
    <w:rsid w:val="004C00FE"/>
    <w:rsid w:val="004D43E3"/>
    <w:rsid w:val="004D6709"/>
    <w:rsid w:val="0058730D"/>
    <w:rsid w:val="005D3AD7"/>
    <w:rsid w:val="007555B8"/>
    <w:rsid w:val="0081197D"/>
    <w:rsid w:val="00852AE5"/>
    <w:rsid w:val="008C6BA8"/>
    <w:rsid w:val="00960100"/>
    <w:rsid w:val="009F52EA"/>
    <w:rsid w:val="00AD6121"/>
    <w:rsid w:val="00B970C0"/>
    <w:rsid w:val="00BE164C"/>
    <w:rsid w:val="00C105D7"/>
    <w:rsid w:val="00C12729"/>
    <w:rsid w:val="00C62295"/>
    <w:rsid w:val="00CA7B39"/>
    <w:rsid w:val="00D107DF"/>
    <w:rsid w:val="00D151D2"/>
    <w:rsid w:val="00D30407"/>
    <w:rsid w:val="00D545E9"/>
    <w:rsid w:val="00DB4692"/>
    <w:rsid w:val="00E10248"/>
    <w:rsid w:val="00E5596B"/>
    <w:rsid w:val="00E96EE3"/>
    <w:rsid w:val="00EF4D01"/>
    <w:rsid w:val="03743AEE"/>
    <w:rsid w:val="061A3FD3"/>
    <w:rsid w:val="0C5D204B"/>
    <w:rsid w:val="1AAE7882"/>
    <w:rsid w:val="1C83642E"/>
    <w:rsid w:val="2302131C"/>
    <w:rsid w:val="3165559B"/>
    <w:rsid w:val="3C7D7285"/>
    <w:rsid w:val="3EF1563C"/>
    <w:rsid w:val="43121D94"/>
    <w:rsid w:val="443C057C"/>
    <w:rsid w:val="46D120AC"/>
    <w:rsid w:val="497455BD"/>
    <w:rsid w:val="4BCB1737"/>
    <w:rsid w:val="53244F99"/>
    <w:rsid w:val="57F275DA"/>
    <w:rsid w:val="5DCD6997"/>
    <w:rsid w:val="632E65D9"/>
    <w:rsid w:val="6417622E"/>
    <w:rsid w:val="64B464F4"/>
    <w:rsid w:val="67914F6A"/>
    <w:rsid w:val="6D8F5C81"/>
    <w:rsid w:val="70A8036B"/>
    <w:rsid w:val="71451BA7"/>
    <w:rsid w:val="71F17BF8"/>
    <w:rsid w:val="77E02D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8">
    <w:name w:val="页脚 字符"/>
    <w:basedOn w:val="6"/>
    <w:link w:val="3"/>
    <w:qFormat/>
    <w:uiPriority w:val="0"/>
    <w:rPr>
      <w:rFonts w:ascii="Times New Roman" w:hAnsi="Times New Roman" w:eastAsia="宋体" w:cs="Times New Roman"/>
      <w:sz w:val="18"/>
      <w:szCs w:val="18"/>
    </w:rPr>
  </w:style>
  <w:style w:type="character" w:customStyle="1" w:styleId="9">
    <w:name w:val="页眉 字符"/>
    <w:basedOn w:val="6"/>
    <w:link w:val="4"/>
    <w:qFormat/>
    <w:uiPriority w:val="99"/>
    <w:rPr>
      <w:rFonts w:ascii="Times New Roman" w:hAnsi="Times New Roman" w:eastAsia="宋体" w:cs="Times New Roman"/>
      <w:kern w:val="2"/>
      <w:sz w:val="18"/>
      <w:szCs w:val="18"/>
    </w:rPr>
  </w:style>
  <w:style w:type="character" w:customStyle="1" w:styleId="10">
    <w:name w:val="批注框文本 字符"/>
    <w:basedOn w:val="6"/>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101</Words>
  <Characters>109</Characters>
  <Lines>74</Lines>
  <Paragraphs>20</Paragraphs>
  <TotalTime>6</TotalTime>
  <ScaleCrop>false</ScaleCrop>
  <LinksUpToDate>false</LinksUpToDate>
  <CharactersWithSpaces>113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2021-07-22T23:55:00Z</dcterms:created>
  <dc:creator>wei jiao</dc:creator>
  <cp:lastModifiedBy>B&amp;T</cp:lastModifiedBy>
  <cp:lastPrinted>2021-07-23T06:37:00Z</cp:lastPrinted>
  <dcterms:modified xsi:type="dcterms:W3CDTF">2026-10-22T01:59:03Z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8C4671C2911A411DB13978EAAE412436_13</vt:lpwstr>
  </property>
</Properties>
</file>