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4F9D3">
      <w:pPr>
        <w:pStyle w:val="2"/>
      </w:pPr>
      <w:bookmarkStart w:id="0" w:name="_Toc18338"/>
      <w:bookmarkStart w:id="37" w:name="_GoBack"/>
      <w:bookmarkEnd w:id="37"/>
      <w:r>
        <w:rPr>
          <w:rFonts w:hint="eastAsia"/>
        </w:rPr>
        <w:t>北京工商大学博士、硕士学位授予办法</w:t>
      </w:r>
      <w:bookmarkEnd w:id="0"/>
    </w:p>
    <w:p w14:paraId="54610D7C">
      <w:pPr>
        <w:autoSpaceDE w:val="0"/>
        <w:autoSpaceDN w:val="0"/>
        <w:adjustRightInd w:val="0"/>
        <w:spacing w:line="440" w:lineRule="exact"/>
        <w:ind w:right="140" w:firstLine="454"/>
        <w:jc w:val="center"/>
        <w:textAlignment w:val="center"/>
        <w:rPr>
          <w:rFonts w:ascii="Times New Roman" w:hAnsi="Times New Roman" w:eastAsia="楷体" w:cs="Times New Roman"/>
          <w:kern w:val="0"/>
          <w:sz w:val="28"/>
          <w:szCs w:val="28"/>
          <w:shd w:val="clear" w:color="auto" w:fill="FFFFFF"/>
          <w:lang w:val="zh-CN"/>
        </w:rPr>
      </w:pPr>
      <w:bookmarkStart w:id="1" w:name="_Toc83652632"/>
      <w:bookmarkStart w:id="2" w:name="_Toc83196147"/>
      <w:bookmarkStart w:id="3" w:name="_Toc83654343"/>
      <w:bookmarkStart w:id="4" w:name="_Toc82878174"/>
      <w:bookmarkStart w:id="5" w:name="_Toc83657885"/>
      <w:bookmarkStart w:id="6" w:name="_Toc83657650"/>
      <w:bookmarkStart w:id="7" w:name="_Toc24558"/>
      <w:r>
        <w:rPr>
          <w:rFonts w:hint="eastAsia" w:ascii="Times New Roman" w:hAnsi="Times New Roman" w:eastAsia="楷体" w:cs="Times New Roman"/>
          <w:kern w:val="0"/>
          <w:sz w:val="28"/>
          <w:szCs w:val="28"/>
          <w:shd w:val="clear" w:color="auto" w:fill="FFFFFF"/>
          <w:lang w:val="zh-CN"/>
        </w:rPr>
        <w:t>北工商校发[2024]67号</w:t>
      </w:r>
    </w:p>
    <w:p w14:paraId="2A4F353A">
      <w:pPr>
        <w:pStyle w:val="8"/>
        <w:rPr>
          <w:rFonts w:hint="default"/>
        </w:rPr>
      </w:pPr>
      <w:r>
        <w:t>第一章  总则</w:t>
      </w:r>
      <w:bookmarkEnd w:id="1"/>
      <w:bookmarkEnd w:id="2"/>
      <w:bookmarkEnd w:id="3"/>
      <w:bookmarkEnd w:id="4"/>
      <w:bookmarkEnd w:id="5"/>
      <w:bookmarkEnd w:id="6"/>
      <w:bookmarkEnd w:id="7"/>
    </w:p>
    <w:p w14:paraId="3BB9AA1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第一</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根据《中华人民共和国学位法》及其他相关规定，结合学校实际情况，制定本办法。</w:t>
      </w:r>
    </w:p>
    <w:p w14:paraId="5CC015A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学校按国务院学位委员会批准的学科、专业所属的学科门类和专业学位类别授予博士学位和硕士学位。</w:t>
      </w:r>
    </w:p>
    <w:p w14:paraId="500B1F2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拥护中国共产党的领导，拥护社会主义制度，遵守宪法和法律，遵守学术道德和学术规范，在本校或通过国家规定的其他方式接受教育，达到相应学业要求、学术水平或专业水平的申请人，均可按本细则有关规定申请相应学位。除了履行经批准的与国外大学联合培养协定之外，申请人不得以同一篇论文向两个学位授予单位提出申请。</w:t>
      </w:r>
    </w:p>
    <w:p w14:paraId="55B5F3B4">
      <w:pPr>
        <w:pStyle w:val="8"/>
        <w:rPr>
          <w:rFonts w:hint="default"/>
        </w:rPr>
      </w:pPr>
      <w:bookmarkStart w:id="8" w:name="_Toc82878175"/>
      <w:bookmarkStart w:id="9" w:name="_Toc83654344"/>
      <w:bookmarkStart w:id="10" w:name="_Toc83652633"/>
      <w:bookmarkStart w:id="11" w:name="_Toc26096"/>
      <w:bookmarkStart w:id="12" w:name="_Toc83196148"/>
      <w:bookmarkStart w:id="13" w:name="_Toc83657886"/>
      <w:bookmarkStart w:id="14" w:name="_Toc83657651"/>
      <w:r>
        <w:t>第二章  博士学位</w:t>
      </w:r>
      <w:bookmarkEnd w:id="8"/>
      <w:bookmarkEnd w:id="9"/>
      <w:bookmarkEnd w:id="10"/>
      <w:bookmarkEnd w:id="11"/>
      <w:bookmarkEnd w:id="12"/>
      <w:bookmarkEnd w:id="13"/>
      <w:bookmarkEnd w:id="14"/>
    </w:p>
    <w:p w14:paraId="40531B8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第四</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凡符合本办法第三条规定的在我校攻读博士学位的研究生，满足培养方案规定的要求，成绩合格，满足以下条件的，可申请博士学位：</w:t>
      </w:r>
    </w:p>
    <w:p w14:paraId="4F52F8E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（一）在本学科或者专业领域掌握坚实全面的基础理论和系统深入的专门知识；</w:t>
      </w:r>
    </w:p>
    <w:p w14:paraId="3D23BC5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（二）学术学位申请人应当具有独立从事学术研究工作的能力，专业学位申请人应当具有独立承担专业实践工作的能力；</w:t>
      </w:r>
    </w:p>
    <w:p w14:paraId="1EFD2A3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（三）学术学位申请人应当在学术研究领域做出创新性成果，专业学位申请人应当在专业实践领域做出创新性成果。</w:t>
      </w:r>
    </w:p>
    <w:p w14:paraId="7148C32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第五</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博士课程学习要求</w:t>
      </w:r>
    </w:p>
    <w:p w14:paraId="0F73030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1．思想政治理论课。要求较好地掌握马克主义基本理论；</w:t>
      </w:r>
    </w:p>
    <w:p w14:paraId="4A484AB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2．基础理论课和专业课。要求掌握坚实宽广的基础理论和系统深入的专门知识；</w:t>
      </w:r>
    </w:p>
    <w:p w14:paraId="5266E4C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两门外国语。第一外国语要求熟练的阅读本专业的外文资料，并具有一定的写作能力；第二外国语要求有阅读本专业外文资料的初步能力。第一外国语为英语的，第二外国语可免修；第一外国语为非英语的，第二外国语必须是英语。</w:t>
      </w:r>
    </w:p>
    <w:p w14:paraId="5064B7F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学位申请人必须修完培养计划中所规定的博士学位课程，成绩合格，并取得规定的学分，符合培养方案中制订的有关规定，方可申请学位论文答辩，或创新性成果审核验证答辩。关于博士生培养的具体规定和要求见《北京工商大学博士研究生培养工作管理规定》。</w:t>
      </w:r>
    </w:p>
    <w:p w14:paraId="42F30FC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第六</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博士学位论文要求</w:t>
      </w:r>
    </w:p>
    <w:p w14:paraId="01B0CE8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博士学位论文须是一篇系统完整、符合学术规范的学术论文，应当表明作者具有独立从事科学研究工作的能力，并在理论或专门技术上做出创造性的成果，对所研究的科研课题在某一方面有创新性。论文的选题和所研究的内容，应对学术发展、经济建设和社会进步有一定的理论意义或现实意义。论文工作必须有一定的工作量，在完成开题报告以后，用于论文的工作时间不应少于两学年。博士学位论文应在导师、导师组指导下由学位申请人独立完成博士学位论文。</w:t>
      </w:r>
    </w:p>
    <w:p w14:paraId="76EF382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博士学位论文应按照学校规定的基本要求与书写格式撰写。</w:t>
      </w:r>
    </w:p>
    <w:p w14:paraId="524B063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第七</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在学期间科研成果的基本要求</w:t>
      </w:r>
    </w:p>
    <w:p w14:paraId="233A641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bookmarkStart w:id="15" w:name="_Hlk49237372"/>
      <w:r>
        <w:rPr>
          <w:rFonts w:ascii="Times New Roman" w:hAnsi="Times New Roman" w:eastAsia="楷体" w:cs="Times New Roman"/>
          <w:kern w:val="0"/>
          <w:sz w:val="28"/>
          <w:szCs w:val="28"/>
          <w:shd w:val="clear" w:color="auto" w:fill="FFFFFF"/>
          <w:lang w:val="zh-CN"/>
        </w:rPr>
        <w:t>博士生在读期间须在理论或专门技术上做出创新性成果，成果须与学位论文内容相关，各学位评定分委员会可根据学科特点及人才培养目标要求，制定学术创新成果要求，报研究生院备案。</w:t>
      </w:r>
      <w:bookmarkEnd w:id="15"/>
      <w:r>
        <w:rPr>
          <w:rFonts w:ascii="Times New Roman" w:hAnsi="Times New Roman" w:eastAsia="楷体" w:cs="Times New Roman"/>
          <w:kern w:val="0"/>
          <w:sz w:val="28"/>
          <w:szCs w:val="28"/>
          <w:shd w:val="clear" w:color="auto" w:fill="FFFFFF"/>
          <w:lang w:val="zh-CN"/>
        </w:rPr>
        <w:t>博士生在读期间的学术论文、科研成果等必须以北京工商大学为第一单位署名。</w:t>
      </w:r>
    </w:p>
    <w:p w14:paraId="121EA6B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第八</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提交学位申请材料</w:t>
      </w:r>
    </w:p>
    <w:p w14:paraId="3CEE849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博士学位申请人应于论文答辩前2个月通过预答辩，且达到所在学科博士生在学期间取得研究成果的基本要求，方可办理学位申请手续，并同时提交以下材料，供学院学位评定分委员会审查：</w:t>
      </w:r>
    </w:p>
    <w:p w14:paraId="25613A9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1．博士学位申请书；</w:t>
      </w:r>
    </w:p>
    <w:p w14:paraId="1E12AE3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2．学位论文；</w:t>
      </w:r>
    </w:p>
    <w:p w14:paraId="4DB2669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3．在学期间科研成果；</w:t>
      </w:r>
    </w:p>
    <w:p w14:paraId="5017B82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4．导师对学位论文的学术评语。</w:t>
      </w:r>
    </w:p>
    <w:p w14:paraId="39009A9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第九</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博士学位申请人资格审查</w:t>
      </w:r>
    </w:p>
    <w:p w14:paraId="673683D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学位资格审查由研究生所在学院学位评定分委员会组织专人负责，按照本办法第四条至第八条的规定、结合其培养计划逐个对学位申请人的政治思想表现、学位课程考试成绩、学术成果的创新性、学位论文及预答辩情况进行全面审核。</w:t>
      </w:r>
    </w:p>
    <w:p w14:paraId="316BCC4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博士学位论文需由研究生院进行文字重复率检测，具体规定按照《北京工商大学研究生学位论文文字重复率检测管理办法》执行。没有完成检测的，或检测不合格的论文，不得进入下一环节。</w:t>
      </w:r>
    </w:p>
    <w:p w14:paraId="0F88BA7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第十一</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博士学位论文评阅</w:t>
      </w:r>
    </w:p>
    <w:p w14:paraId="0B65B4E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申请博士学位的研究生，应在规定的时间内提交学位论文，由导师审阅同意，并写出详细的学术评语后，送同行专家评阅。</w:t>
      </w:r>
    </w:p>
    <w:p w14:paraId="57D8F32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博士学位论文评阅人为5名，其中2名评阅人由学院负责聘请校外的同行专家（须能够参加答辩委员会）对论文进行评阅。3名评阅人由研究生院聘请校外与论文有关学科的教授(或相当职称的专家)进行匿名评审。</w:t>
      </w:r>
    </w:p>
    <w:p w14:paraId="38F6049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导师不能作为论文评阅人。博士学位申请人本人不得参与论文评审的材料传递与寄送过程，不得打听论文评阅人姓名。</w:t>
      </w:r>
    </w:p>
    <w:p w14:paraId="511A659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评阅人在评阅论文时，可参考以下几个方面进行评阅：</w:t>
      </w:r>
    </w:p>
    <w:p w14:paraId="7CB7A10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1．选题是否接触学科前沿，方向明确，具有开创性，对科技进步、国民经济发展有较大的理论或实用价值</w:t>
      </w:r>
      <w:r>
        <w:rPr>
          <w:rFonts w:hint="eastAsia" w:ascii="Times New Roman" w:hAnsi="Times New Roman" w:eastAsia="楷体" w:cs="Times New Roman"/>
          <w:kern w:val="0"/>
          <w:sz w:val="28"/>
          <w:szCs w:val="28"/>
          <w:shd w:val="clear" w:color="auto" w:fill="FFFFFF"/>
          <w:lang w:val="zh-CN"/>
        </w:rPr>
        <w:t>。</w:t>
      </w:r>
    </w:p>
    <w:p w14:paraId="2BA86CB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2．文献阅读和查阅广泛，综述全面正确反映本学科及相关学科领域的国内外研究现状和发展动态</w:t>
      </w:r>
      <w:r>
        <w:rPr>
          <w:rFonts w:hint="eastAsia" w:ascii="Times New Roman" w:hAnsi="Times New Roman" w:eastAsia="楷体" w:cs="Times New Roman"/>
          <w:kern w:val="0"/>
          <w:sz w:val="28"/>
          <w:szCs w:val="28"/>
          <w:shd w:val="clear" w:color="auto" w:fill="FFFFFF"/>
          <w:lang w:val="zh-CN"/>
        </w:rPr>
        <w:t>。</w:t>
      </w:r>
    </w:p>
    <w:p w14:paraId="775FA21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3．研究方法、实验方法的合理性、可信度，手段的新颖性；研究结果准确；数据处理和运算结果可靠，研究结论正确。</w:t>
      </w:r>
    </w:p>
    <w:p w14:paraId="2ADA1EA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4．论文作者掌握专业知识的深度、广度和系统性，具有独立从事科研工作的能力和知识运用能力，完成的论文在立论和学术思想探讨等方面有明显的创新，成果突出</w:t>
      </w:r>
      <w:r>
        <w:rPr>
          <w:rFonts w:hint="eastAsia" w:ascii="Times New Roman" w:hAnsi="Times New Roman" w:eastAsia="楷体" w:cs="Times New Roman"/>
          <w:kern w:val="0"/>
          <w:sz w:val="28"/>
          <w:szCs w:val="28"/>
          <w:shd w:val="clear" w:color="auto" w:fill="FFFFFF"/>
          <w:lang w:val="zh-CN"/>
        </w:rPr>
        <w:t>。</w:t>
      </w:r>
    </w:p>
    <w:p w14:paraId="0CD5CB0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5．论文思路清晰、说理透彻，层次分明、结构严谨，表达准确，图表绘制和文献引用符合规范</w:t>
      </w:r>
      <w:r>
        <w:rPr>
          <w:rFonts w:hint="eastAsia" w:ascii="Times New Roman" w:hAnsi="Times New Roman" w:eastAsia="楷体" w:cs="Times New Roman"/>
          <w:kern w:val="0"/>
          <w:sz w:val="28"/>
          <w:szCs w:val="28"/>
          <w:shd w:val="clear" w:color="auto" w:fill="FFFFFF"/>
          <w:lang w:val="zh-CN"/>
        </w:rPr>
        <w:t>。</w:t>
      </w:r>
    </w:p>
    <w:p w14:paraId="00DB6CE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6．论文反映出的独立工作能力、技能及工作量</w:t>
      </w:r>
      <w:r>
        <w:rPr>
          <w:rFonts w:hint="eastAsia" w:ascii="Times New Roman" w:hAnsi="Times New Roman" w:eastAsia="楷体" w:cs="Times New Roman"/>
          <w:kern w:val="0"/>
          <w:sz w:val="28"/>
          <w:szCs w:val="28"/>
          <w:shd w:val="clear" w:color="auto" w:fill="FFFFFF"/>
          <w:lang w:val="zh-CN"/>
        </w:rPr>
        <w:t>。</w:t>
      </w:r>
    </w:p>
    <w:p w14:paraId="7CEE39E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第十二</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匿名评阅结果的处理如下：</w:t>
      </w:r>
    </w:p>
    <w:p w14:paraId="5A2F43A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1．研究生院依据由其聘请的校外评阅专家在博士学位论文评阅书中的“是否同意进行学位论文答辩”栏的相关意见确定学位申请人能否参加学位论文答辩。“是否同意进行学位论文答辩”栏共有四个选项：</w:t>
      </w:r>
    </w:p>
    <w:p w14:paraId="62435E0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A：优秀，符合博士学位论文要求，准予答辩，推荐参加优博论文评选</w:t>
      </w:r>
    </w:p>
    <w:p w14:paraId="4D7AC56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B：良好，符合博士学位论文要求，准予答辩</w:t>
      </w:r>
    </w:p>
    <w:p w14:paraId="79F4B7B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C：合格，符合博士学位论文基本要求，论文需修改后答辩</w:t>
      </w:r>
    </w:p>
    <w:p w14:paraId="3C39E95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D：不合格，不同意答辩，距博士学位论文的要求有一定距离，论文修改后重新评审</w:t>
      </w:r>
    </w:p>
    <w:p w14:paraId="14BA59A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2．评阅结果处理</w:t>
      </w:r>
    </w:p>
    <w:p w14:paraId="4C0DE60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（1）3份评阅书全部结论为A、B，视为通过匿名评阅，学位申请人可以申请参加本次学位论文答辩。</w:t>
      </w:r>
    </w:p>
    <w:p w14:paraId="4C3DB71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（2）3份评阅书的结论中有“C”,则学位申请人根据评阅专家意见修改论文，并提交书面修改说明。经导师审核修改后的论文和修改说明签字后，可按照有关规定申请答辩。修改说明附在评阅书的后面一并存档。</w:t>
      </w:r>
    </w:p>
    <w:p w14:paraId="76A6ABF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（3）3份评阅书的结论中有1份“D”，学位申请人根据评阅专家意见修改论文，并提交书面修改说明，原则上修改时间不少于</w:t>
      </w:r>
      <w:r>
        <w:rPr>
          <w:rFonts w:hint="eastAsia" w:ascii="Times New Roman" w:hAnsi="Times New Roman" w:eastAsia="楷体" w:cs="Times New Roman"/>
          <w:kern w:val="0"/>
          <w:sz w:val="28"/>
          <w:szCs w:val="28"/>
          <w:shd w:val="clear" w:color="auto" w:fill="FFFFFF"/>
          <w:lang w:val="zh-CN"/>
        </w:rPr>
        <w:t>4</w:t>
      </w:r>
      <w:r>
        <w:rPr>
          <w:rFonts w:ascii="Times New Roman" w:hAnsi="Times New Roman" w:eastAsia="楷体" w:cs="Times New Roman"/>
          <w:kern w:val="0"/>
          <w:sz w:val="28"/>
          <w:szCs w:val="28"/>
          <w:shd w:val="clear" w:color="auto" w:fill="FFFFFF"/>
          <w:lang w:val="zh-CN"/>
        </w:rPr>
        <w:t>个月,经导师对修改后的论文和修改说明审核同意签字后，提交学院学位评定分委员会主席审核，主席审核同意并签字后，由校学位办公室进行重新匿名评阅。原则上，重新匿名评阅的同行专家仍为原评阅人。修改说明附在原评阅书的后面，连同重新匿名评阅书一并存档。</w:t>
      </w:r>
    </w:p>
    <w:p w14:paraId="731F700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学位申请人对评阅书的结论中有1份“D”如有异议，也可征求导师意见，经导师同意申请再审（导师支付评阅费），研究生院新增3名同行专家进行匿名评阅，再审后又有评阅结论为“D”，则学位申请人根据评阅专家意见修改论文，并提交书面修改说明，原则上修改时间不少于6个月。经导师对修改后的论文和修改说明审核同意签字后，提交学院学位评定分委员会主席审核，主席审核同意并签字后，由校学位办公室增聘一位同行专家对论文进行匿名评阅；增聘评阅人后又有评阅结论为“D”，则论文评阅为未通过，本次学位申请无效。论文作者可对论文进行修改，并自领取第一次专家评阅结果之日起半年后两年内重新申请学位论文匿名评阅，逾期不予受理。</w:t>
      </w:r>
    </w:p>
    <w:p w14:paraId="1818B16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3份评阅书的结论中出现两份及以上“D”，则学位申请人根据评阅专家意见修改论文，并提交书面修改说明，原则上修改时间不少于6个月。经导师对修改后的论文和修改说明审核同意签字后，提交学院学位评定分委员会主席审核，主席审核同意并签字后，由校学位办公室增聘二位同行专家对论文进行匿名评阅。修改说明附在原评阅书的后面，连同重新匿名评阅书一并存档。</w:t>
      </w:r>
    </w:p>
    <w:p w14:paraId="065A8A9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修改后重新评阅或增聘评阅人后又有评阅结论为“D”，则论文评阅为未通过，本次学位申请无效。论文作者可对论文进行修改，并自领取第一次专家评阅结果之日起半年后两年内重新申请学位论文匿名评阅一次，逾期不予受理。</w:t>
      </w:r>
    </w:p>
    <w:p w14:paraId="5A82C7D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第十三</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博士学位论文需通过预答辩、答辩等程序</w:t>
      </w:r>
    </w:p>
    <w:p w14:paraId="6638B9C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rPr>
        <w:t>一</w:t>
      </w: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预答辩</w:t>
      </w:r>
    </w:p>
    <w:p w14:paraId="293ADB4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博士生申请论文答辩前，必须通过预答辩。</w:t>
      </w:r>
    </w:p>
    <w:p w14:paraId="51FA4B0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1．预答辩时间安排在正式答辩前2个月，博士生完成学位论文的撰写，经导师同意，填写《北京工商大学博士学位论文预答辩情况表》，向学院提出预答辩申请，并提交博士学位论文文稿。</w:t>
      </w:r>
    </w:p>
    <w:p w14:paraId="0A1CC2B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2．学院按博士生申请学位论文预答辩应具备的条件对博士生的预答辩资格进行审核。审核合格者，准予进行预答辩。</w:t>
      </w:r>
    </w:p>
    <w:p w14:paraId="0C663C9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3．预答辩由导师或导师组负责组织。预答辩委员会由5名本学科及相关学科的教授、具有博士学位的副教授组成，其中至少有3名博士生导师。预答辩另设1名秘书，负责预答辩过程记录等具体工作。</w:t>
      </w:r>
    </w:p>
    <w:p w14:paraId="492F7ED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4．参加预答辩的博士生须提前1周将博士学位论文送交预答辩委员会全体委员。</w:t>
      </w:r>
    </w:p>
    <w:p w14:paraId="3E20EB7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预答辩过程中，博士生须按学院要求向预答辩委员会陈述学位论文的相关内容。预答辩委员会应对博士学位论文进行严格、认真的审查，重点审查学位论文的学术水平、创新性、学术规范等，并对论文存在的不足和问题提出具体修改意见。</w:t>
      </w:r>
    </w:p>
    <w:p w14:paraId="0FF648B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6．预答辩委员会应针对申请人的学位论文存在的问题提出详细的评议和指导，评议结果分为“通过预答辩”和“不通过预答辩”两种答辩，预答辩委员会2/3（含）以上委员同意通过预答辩的方可评议为“通过预答辩”。</w:t>
      </w:r>
    </w:p>
    <w:p w14:paraId="765154F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通过预答辩的博士生，须根据预答辩委员会提出的问题及修改意见，在导师的指导下对学位论文进行修改。导师审阅、同意定稿后，可申请进行学位论文文字重复率检测和匿名评阅。</w:t>
      </w:r>
    </w:p>
    <w:p w14:paraId="2934C36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未通过预答辩的博士生，须根据预答辩委员会提出的问题及修改意见，在导师的指导下对学位论文进行修改。第二次预答辩时间由博士生与导师共同确定，但距第一次预答辩时间不得少于6个月。每名博士生最多有三次预答辩机会，如果第三次预答辩仍未通过，则取消该生申请博士学位资格，做分流处理。</w:t>
      </w:r>
    </w:p>
    <w:p w14:paraId="6838E0B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7．预答辩结束后，各学院将通过预答辩和未通过预答辩的博士生名单报送研究生院备案。预答辩相关材料由学院存档保留。</w:t>
      </w:r>
    </w:p>
    <w:p w14:paraId="6911C35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（二）博士学位论文答辩</w:t>
      </w:r>
    </w:p>
    <w:p w14:paraId="697ED76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1．通过学位论文匿名评阅的博士生，可向学院提出学位论文答辩申请。学院审核相关材料，确定无误后，准予答辩。</w:t>
      </w:r>
    </w:p>
    <w:p w14:paraId="421AC0F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2．博士学位论文答辩原则上集中安排在每年的5月进行，确因特殊原因需要在其他时间答辩的博士生，须向学院递交答辩申请，学院批准后报研究生院审批。所有论文答辩必须在校学位评定委员会开会前2周结束。</w:t>
      </w:r>
    </w:p>
    <w:p w14:paraId="1768C9A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3.博士学位论文的答辩委员会由5名以上（含5名）正高级职称专家组成，其中校外专家2名以上，答辩委员会委员须报学院、一级学科博士点学位评定分委员会审批。</w:t>
      </w:r>
    </w:p>
    <w:p w14:paraId="2A0DA97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答辩委员会主席必须由教授（必须是博士研究生导师）职称的专家担任。答辩研究生导师不能作为答辩委员，不提出或者代替学生回答问题。如答辩委员会委员请导师进行课题相关内容讨论，导师可以参与讨论。讨论答辩成绩和决议时，研究生及其导师须回避。答辩委员会设秘书1人，秘书应由本学科具有中级以上专业技术职务的教师担任。</w:t>
      </w:r>
    </w:p>
    <w:p w14:paraId="692A4BB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论文答辩会由答辩委员会主席主持，答辩委员会以不记名投票方式对是否通过答辩进行表决，经全体成员三分之二以上（含三分之二）同意方为通过。</w:t>
      </w:r>
    </w:p>
    <w:p w14:paraId="16A7620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论文答辩未通过，或论文答辩虽通过但未被建议授予学位的，经论文答辩委员会全体成员半数以上通过，并做出决议，可在两年内修改论文，重新申请答辩一次；答辩委员会对不建议授予学位的情况还需说明原因，对暂缓授予学位的情况应给出具体的整改意见。答辩决议经论文答辩委员会主席签字后，报学院学位评定分委员会和学校学位评定委员会审批。如答辩委员会未做出同意修改论文的决议，任何个人无权同意修改论文并重新组织答辩。</w:t>
      </w:r>
    </w:p>
    <w:p w14:paraId="2E68896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论文答辩应有详细记录，答辩委员会决议应由全体委员签字，报送学位评定分委员会审批。</w:t>
      </w:r>
    </w:p>
    <w:p w14:paraId="7B6AF1C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除涉密论文外，论文答辩应当公开举行，至少提前3天在网上公示专业、答辩时间、地点及答辩人名单。</w:t>
      </w:r>
    </w:p>
    <w:p w14:paraId="50C956B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第十四</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论文答辩程序</w:t>
      </w:r>
    </w:p>
    <w:p w14:paraId="570FE5E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1．答辩委员会主席宣布答辩开始后应先说明答辩会有关要求，并介绍答辩委员会专家的情况；</w:t>
      </w:r>
    </w:p>
    <w:p w14:paraId="17F460D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2．答辩秘书介绍申请人资格审查情况、宣读导师和论文评阅人的学术评语（包括修改建议）；</w:t>
      </w:r>
    </w:p>
    <w:p w14:paraId="15348E6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3．申请人宣讲论文（时间不超过一小时）；</w:t>
      </w:r>
    </w:p>
    <w:p w14:paraId="1C47948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4．答辩委员会委员就论文提出问题，申请人对提出的问题进行逐一回答，答辩委员会成员不得作出引导性发言和结论性评价，避免影响其他答辩成员投票；</w:t>
      </w:r>
    </w:p>
    <w:p w14:paraId="011AD99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5．申请人及列席会议人员暂时退场，答辩委员会按以下要求进行评议和投票；</w:t>
      </w:r>
    </w:p>
    <w:p w14:paraId="7E1A2CB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（1）评议本小组答辩论文的水平及论文答辩情况；</w:t>
      </w:r>
    </w:p>
    <w:p w14:paraId="4D31CDB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（2）就申请人是否通过论文答辩、是否建议授予学位进行投票表决，表决应以无记名投票方式进行，经全体答辩委员会成员2/3（含2/3）以上通过的被认定为通过；</w:t>
      </w:r>
    </w:p>
    <w:p w14:paraId="0AAE6A4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（3）对论文做出综合评价并形成决议，决议应写明答辩委员会投票结果；</w:t>
      </w:r>
    </w:p>
    <w:p w14:paraId="6031175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（4）签署答辩委员会决议书（所有到会的答辩委员均应签名）。</w:t>
      </w:r>
    </w:p>
    <w:p w14:paraId="565938C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6．申请人及列席会议人员回到会场，答辩委员会主席应向答辩人当面宣读对学位论文的综合评语和投票表决结果；</w:t>
      </w:r>
    </w:p>
    <w:p w14:paraId="37E2F6E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7．答辩委员会主席宣布答辩会议结束；</w:t>
      </w:r>
    </w:p>
    <w:p w14:paraId="19274EB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8．会后，答辩秘书应将论文评阅意见书、答辩表决票、论文答辩决议书及其它学位审批材料整理好后交给学院，由学院统一将答辩结果报研究生院备案。</w:t>
      </w:r>
    </w:p>
    <w:p w14:paraId="1402B46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第十五</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论文答辩通过后，由学院学位评定分委员会对博士学位申请人的思想表现，课程学习情况，论文答辩情况等内容进行全面审查，并以无记名方式投票表决，做出是否建议授予该申请人学位的决定，并给出评价意见。</w:t>
      </w:r>
    </w:p>
    <w:p w14:paraId="46D037B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学院学位评定分委员会出席人数必须达到全体委员数的五分之四，表决同意的票数必须达到参加会议委员的三分之二以上（含三分之二）方可报一级学科博士点学位评定</w:t>
      </w:r>
      <w:r>
        <w:rPr>
          <w:rFonts w:hint="eastAsia" w:ascii="Times New Roman" w:hAnsi="Times New Roman" w:eastAsia="楷体" w:cs="Times New Roman"/>
          <w:kern w:val="0"/>
          <w:sz w:val="28"/>
          <w:szCs w:val="28"/>
          <w:shd w:val="clear" w:color="auto" w:fill="FFFFFF"/>
        </w:rPr>
        <w:t>分</w:t>
      </w:r>
      <w:r>
        <w:rPr>
          <w:rFonts w:ascii="Times New Roman" w:hAnsi="Times New Roman" w:eastAsia="楷体" w:cs="Times New Roman"/>
          <w:kern w:val="0"/>
          <w:sz w:val="28"/>
          <w:szCs w:val="28"/>
          <w:shd w:val="clear" w:color="auto" w:fill="FFFFFF"/>
          <w:lang w:val="zh-CN"/>
        </w:rPr>
        <w:t>委员会审议。</w:t>
      </w:r>
    </w:p>
    <w:p w14:paraId="3CF69FA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学院学位评定分委员会通过后将材料提交一级学科博士点学位评定分委员会审议，并以无记名方式投票表决，做出是否建议授予该申请人学位的决定，并给出评价意见。</w:t>
      </w:r>
    </w:p>
    <w:p w14:paraId="5C57B5A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一级学科博士点学位评定分委员会出席人数必须达到全体委员数的五分之四，表决同意的票数必须达到参加会议委员的三分之二以上（含三分之二）方可报学校学位评定委员会审议。对于建议不授予博士学位的申请人，可申请复审。</w:t>
      </w:r>
    </w:p>
    <w:p w14:paraId="2BE0249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第十六</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校学位评定委员会召开会议，审议博士学位申请人的学位，做出是否授予博士学位的决议。对博士学位授予审议未通过的，应根据具体情况，明确说明不授予博士学位或暂缓授予博士学位的理由。对于暂缓授予博士学位的，学校学位评定委员会应说明暂缓授予学位的理由，博士生在修学年限内可再次申请学位。学校学位评定委员会决议，需以无记名投票方式，经三分之二以上（含三分之二）委员参加且以全体委员应到人数的半数以上（不含半数）表决同意，方为有效。</w:t>
      </w:r>
    </w:p>
    <w:p w14:paraId="50E9017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第十七</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博士学位申请经学校学位评定委员会审议通过后，校学位评定委员会办公室对同意授予博士学位者颁发博士学位证书，负责将博士学位名单进行公开并备案、相关材料归档并上报授予学位信息。</w:t>
      </w:r>
    </w:p>
    <w:p w14:paraId="15EACE36">
      <w:pPr>
        <w:pStyle w:val="8"/>
        <w:rPr>
          <w:rFonts w:hint="default"/>
        </w:rPr>
      </w:pPr>
      <w:bookmarkStart w:id="16" w:name="_Toc83652634"/>
      <w:bookmarkStart w:id="17" w:name="_Toc83196149"/>
      <w:bookmarkStart w:id="18" w:name="_Toc83657887"/>
      <w:bookmarkStart w:id="19" w:name="_Toc82878176"/>
      <w:bookmarkStart w:id="20" w:name="_Toc21322"/>
      <w:bookmarkStart w:id="21" w:name="_Toc83654345"/>
      <w:bookmarkStart w:id="22" w:name="_Toc83657652"/>
      <w:r>
        <w:t>第三章  硕士学位</w:t>
      </w:r>
      <w:bookmarkEnd w:id="16"/>
      <w:bookmarkEnd w:id="17"/>
      <w:bookmarkEnd w:id="18"/>
      <w:bookmarkEnd w:id="19"/>
      <w:bookmarkEnd w:id="20"/>
      <w:bookmarkEnd w:id="21"/>
      <w:bookmarkEnd w:id="22"/>
    </w:p>
    <w:p w14:paraId="6BF5B12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第十八</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凡符合本办法第三条规定的攻读硕士学位研究生，完成培养方案规定的各项环节，成绩合格，通过学位论文答辩，达到下述学术水平的，可申请硕士学位：</w:t>
      </w:r>
    </w:p>
    <w:p w14:paraId="4B990BB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1．在本学科上掌握坚实的基础理论和系统的专门知识；</w:t>
      </w:r>
    </w:p>
    <w:p w14:paraId="4963455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2．具有从事科学研究工作或独立担负专门技术工作的能力。</w:t>
      </w:r>
    </w:p>
    <w:p w14:paraId="00672C7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第十九</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硕士课程学习要求</w:t>
      </w:r>
    </w:p>
    <w:p w14:paraId="1121844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硕士学位申请人提出学位论文答辩申请时，必须已修满学校规定的学分；所有课程成绩合格的，方可申请学位论文答辩。</w:t>
      </w:r>
    </w:p>
    <w:p w14:paraId="4DDBA63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关于硕士研究生培养的具体规定和要求详见《北京工商大学全日制学术学位硕士研究生培养工作管理规定》、《北京工商大学专业学位硕士研究生培养工作管理规定》。</w:t>
      </w:r>
    </w:p>
    <w:p w14:paraId="7E83F30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硕士学位论文要求</w:t>
      </w:r>
    </w:p>
    <w:p w14:paraId="270E892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硕士学位论文应对所研究的课题有新的见解，表明作者具有从事科学研究工作或独立担负专门技术工作的能力。论文的选题和所研究的内容，应对学术发展、经济建设和社会进步有一定的理论意义或现实意义。</w:t>
      </w:r>
    </w:p>
    <w:p w14:paraId="73AFF5D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硕士研究生分为学术学位和专业学位硕士研究生。学术学位研究生以学术研究为导向，偏重理论研究；专业学位研究生以专业实践为导向，重视实践应用。</w:t>
      </w:r>
    </w:p>
    <w:p w14:paraId="4076B85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学位论文应在导师指导下由学位申请人独立完成。学术学位硕士学位论文正文原则上应不少于3万字；专业学位硕士学位论文正文原则上应不少于2万字（所在专业教育指导委员会有明确要求的按照其文件的要求执行）。</w:t>
      </w:r>
    </w:p>
    <w:p w14:paraId="258B5C1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硕士学位论文应按照《北京工商大学研究生学位论文写作规范》规定的基本要求与书写格式撰写。</w:t>
      </w:r>
    </w:p>
    <w:p w14:paraId="6E58C0C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第二十一</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硕士研究生在学期间学术成果应满足如下条件：</w:t>
      </w:r>
    </w:p>
    <w:p w14:paraId="5DE9B8F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研究生在读期间须在科学研究或专门技术上做出一定的创新成果，各学位评定分委员会可根据学科特点及人才培养目标要求，制定创新成果要求，报研究生院备案；专业学位硕士研究生也可以结合本人的专业实践工作，进行工程设计并撰写出设计报告或撰写1篇调研报告、案例分析报告等，调研报告和案例分析不得用培养环节的实践报告代替。</w:t>
      </w:r>
    </w:p>
    <w:p w14:paraId="6A69A7A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硕士研究生在读期间的学术论文、科研成果等必须以北京工商大学为第一单位署名。</w:t>
      </w:r>
    </w:p>
    <w:p w14:paraId="7250CBC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第二十二</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学位申请</w:t>
      </w:r>
    </w:p>
    <w:p w14:paraId="20A5F6D8">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应届毕业硕士生应于最后一学年结束前3个月办理学位申请手续，并提交以下材料，供所在学院学位评定分委员会审查：</w:t>
      </w:r>
    </w:p>
    <w:p w14:paraId="19FB91D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1．硕士学位申请书；</w:t>
      </w:r>
    </w:p>
    <w:p w14:paraId="6315AE2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2．学位论文；</w:t>
      </w:r>
    </w:p>
    <w:p w14:paraId="51C6127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3．在学期间科研成果（按照入学时学院公布的在校期间科研成果的要求）；</w:t>
      </w:r>
    </w:p>
    <w:p w14:paraId="36BF16F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4．导师对学位论文的学术评语。</w:t>
      </w:r>
    </w:p>
    <w:p w14:paraId="5BE1540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已经毕业但未取得学位的研究生或结业的研究生，须在离校一年内提出学位申请并提交以上相关材料（科研成果要求：以入学当年的要求为准），方可申请学位。</w:t>
      </w:r>
    </w:p>
    <w:p w14:paraId="6E6271C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第二十三</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硕士学位申请人的资格审查</w:t>
      </w:r>
    </w:p>
    <w:p w14:paraId="51B2DCB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硕士学位申请人的资格审查由学院学位评定分委员会组织专人按照本办法第十八条至第二十二条的规定，结合其培养计划对学位申请人的政治思想表现、学位课程考试成绩、在校期间取得的学术成果、学位论文及答辩等情况进行全面审核。</w:t>
      </w:r>
    </w:p>
    <w:p w14:paraId="55C95B9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第二十四</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硕士学位论文评阅</w:t>
      </w:r>
    </w:p>
    <w:p w14:paraId="28CAF81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经审查同意接受申请的学术硕士学位论文，须经2名与论文相关学科的专家匿名评阅，论文评阅人应由副教授以上职称或具有博士学位、讲师职称的专家担任。申请人的导师不得聘为论文评阅人。论文评阅标准参照《北京工商大学学术硕士学位论文评阅标准》，论文匿名评阅成绩达到70分为合格。</w:t>
      </w:r>
    </w:p>
    <w:p w14:paraId="0D9D1E9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经审查同意接受申请的专业学位硕士学位论文，须经2名与论文相关学科的专家匿名评阅（法律硕士须经3名与论文相关学科的专家匿名评阅）。论文评阅人应由副教授以上职称或具有博士学位的讲师职称的专家组成，其中至少1人来自实践领域。实践领域的专家应具有硕士以上学位并具有八年以上的相关专业实践经验，或具备相当于高级专业技术职称。申请人的导师不得聘为论文评阅人。论文评阅标准参照《北京工商大学专业硕士学位论文评阅标准》，论文匿名评阅成绩达到60分为合格。</w:t>
      </w:r>
    </w:p>
    <w:p w14:paraId="5FAC621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若评阅意见中有1份不同意答辩，可增聘1名论文评阅人；若有2份评阅意见均不同意答辩，则本次申请无效，可在评阅结束三个月后一年内申请重新评阅一次。</w:t>
      </w:r>
    </w:p>
    <w:p w14:paraId="733B421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因特殊情况申请推迟论文评阅的，须由研究生导师提出书面申请，经研究生所在学院主管院长批准后，报送研究生院备案。推迟论文评阅的，须在评阅结束三个月后一年内申请评阅，且时间不能超过规定的培养期限，不得参加优秀硕士学位论文的评选。</w:t>
      </w:r>
    </w:p>
    <w:p w14:paraId="4363B90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第二十五</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硕士学位论文预答辩和答辩</w:t>
      </w:r>
    </w:p>
    <w:p w14:paraId="63BF5794">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为提高学位论文质量，建议各学科在学位论文进行送审前组织预答辩，通过预答辩的论文修改后再进行双盲评审。硕士学位论文评阅合格后，由学院学位评定分委员会组织论文答辩。答辩委员会成员名单由学院学位评定分委员会提名，报学校学位评定委员会办公室审批。</w:t>
      </w:r>
    </w:p>
    <w:p w14:paraId="3E8FAE8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术硕士学位论文答辩委员会成员不少于5名，要求由具有副教授以上职称的教师或具有博士学位的讲师职称的专家组成，成员中至少有1名外单位专家，答辩委员会主席必须由具有正教授职称的专家担任；专业硕士学位论文答辩委员会成员由不少于5名具有副教授职称或具有博士学位的讲师职称的专家组成，成员中至少有2名来自实践领域的专家。实践领域的专家应具有硕士以上学位并具有八年以上的相关专业实践经验，或具备相当于高级专业技术职称。答辩委员会设主席1人，秘书1人。答辩秘书要求由学院指定本学科的教师担任，负责协助答辩委员会办理答辩有关事宜，参加答辩工作全过程并作会议记录，参与起草会议决议，整理与答辩有关的全部材料，秘书没有表决权。申请人的导师可列席参加答辩，但不得在答辩委员提问时进行发言，也不得作为答辩委员会成员参与评议和投票表决。</w:t>
      </w:r>
    </w:p>
    <w:p w14:paraId="2926F16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论文答辩应公开举行（保密课题除外），各学院至少在答辩的前三天张贴海报或在学院网站发布答辩信息，以增加答辩的透明度并允许相关学科、专业的研究生和教师参加。答辩委员会成员必须坚持原则，严格把关，实事求是，充分发扬学术民主。</w:t>
      </w:r>
    </w:p>
    <w:p w14:paraId="56086C3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第二十六</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答辩委员会以不记名投票方式对是否通过答辩进行表决，经全体成员三分之二以上（含三分之二）同意方为通过。论文答辩未通过，或论文答辩虽通过但未被建议授予学位的，答辩委员会对不建议授予学位的情况还需说明原因，对暂缓授予学位的情况应给出具体的整改意见；答辩决议经论文答辩委员会主席签字后，报学院学位评定分委员会和学校学位评定委员会审批。如答辩委员会未做出同意修改论文的决议，任何个人无权同意修改论文并重新组织答辩。</w:t>
      </w:r>
    </w:p>
    <w:p w14:paraId="1C2B50D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第一次申请学位，论文答辩不合格的，可在三个月后一年内修改论文重新答辩一次。若逾期未完成论文修改，或者重新答辩仍不合格的，以后不再受理学位申请。</w:t>
      </w:r>
    </w:p>
    <w:p w14:paraId="44CA2FE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论文答辩应有详细记录，答辩委员会决议应由全体委员签字，报送学院学位评定分委员会审议。</w:t>
      </w:r>
    </w:p>
    <w:p w14:paraId="1B9CE0A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第二十七</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论文答辩程序</w:t>
      </w:r>
    </w:p>
    <w:p w14:paraId="6C6231F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1．答辩委员会主席宣布答辩开始后应先说明答辩会有关要求，并介绍答辩委员会专家的情况；</w:t>
      </w:r>
    </w:p>
    <w:p w14:paraId="0E22BFE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2．答辩秘书介绍申请人资格审查情况、宣读导师和论文评阅人的学术评语；</w:t>
      </w:r>
    </w:p>
    <w:p w14:paraId="662889D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3．申请人汇报论文的撰写情况和主要内容；</w:t>
      </w:r>
    </w:p>
    <w:p w14:paraId="3C3CA1D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4．答辩委员会委员就论文提出问题，申请人对提出的问题进行逐一回答，答辩委员会成员在答辩过程中应尽量避免做引导性发言和结论性评价；</w:t>
      </w:r>
    </w:p>
    <w:p w14:paraId="7D18CF4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5．申请人及列席会议人员暂时退场，答辩委员会按以下要求进行评议和投票；</w:t>
      </w:r>
    </w:p>
    <w:p w14:paraId="3BD4B66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（1）评议本小组答辩论文的水平及论文答辩情况；</w:t>
      </w:r>
    </w:p>
    <w:p w14:paraId="6A665E9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（2）就申请人是否通过论文答辩、是否建议授予学位进行投票表决，表决应以无记名投票方式进行，经全体答辩委员会成员2/3（含2/3）以上通过的，被认定为通过；</w:t>
      </w:r>
    </w:p>
    <w:p w14:paraId="7446AFA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（3）对论文做出综合评价并形成决议，决议不仅应写明答辩委员会投票结果，还必须对论文不足之处和修改要求做出明确说明；</w:t>
      </w:r>
    </w:p>
    <w:p w14:paraId="56CD5E60">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（4）签署答辩委员会决议书,所有到会的答辩委员均应签名；</w:t>
      </w:r>
    </w:p>
    <w:p w14:paraId="1FAA787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6．申请人及列席会议人员回到会场，答辩委员会主席应向答辩人当面宣读对学位论文的综合评语和投票表决结果；</w:t>
      </w:r>
    </w:p>
    <w:p w14:paraId="69DB72A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7．答辩委员会主席宣布答辩会议结束；</w:t>
      </w:r>
    </w:p>
    <w:p w14:paraId="22CA1DD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8．会后，答辩秘书应将论文评阅意见书、答辩表决票、论文答辩决议书及其它学位审批材料整理好后交给学院，由学院统一将答辩结果报研究生院备案。</w:t>
      </w:r>
    </w:p>
    <w:p w14:paraId="3EE7FBF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第二十八</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学院学位评定分委员会审议</w:t>
      </w:r>
    </w:p>
    <w:p w14:paraId="64BA801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1．答辩委员会决议通过答辩的硕士学位论文，按照规定程序提交学院学位评定分委员会审议。</w:t>
      </w:r>
    </w:p>
    <w:p w14:paraId="61D1874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2．学院学位评定分委员会应以会议形式审查本学科范围内申请硕士学位人员的材料，确定授予硕士学位人员的建议名单后，报送学校学位评定委员会批准。</w:t>
      </w:r>
    </w:p>
    <w:p w14:paraId="3E4008E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会议应由学院学位评定分委员会全体委员的三分之二以上（含三分之二）出席方为有效。以无记名投票方式，对是否同意建议授予硕士学位进行表决。同意建议授予硕士学位的决定应经过全体委员应到人数的半数以上（不含半数）表决同意，方为通过。学院学位评定分委员会根据表决结果做出建议授予硕士学位的决议或者不授予硕士学位的决议。会议应有详细的文字记录。</w:t>
      </w:r>
    </w:p>
    <w:p w14:paraId="39A2A31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第二十九</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学校学位评定委员会需以无记名投票方式，经三分之二以上（含三分之二）委员参加且以全体委员应到人数的半数以上（不含半数）表决同意，方为有效。</w:t>
      </w:r>
    </w:p>
    <w:p w14:paraId="2F5892E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硕士学位申请经学校学位评定委员会审议通过后，校学位评定委员会办公室对同意授予硕士学位者颁发硕士学位证书，负责将硕士学位名单进行公开并备案、相关材料归档并上报授予学位信息。</w:t>
      </w:r>
    </w:p>
    <w:p w14:paraId="7407D1E6">
      <w:pPr>
        <w:pStyle w:val="8"/>
        <w:rPr>
          <w:rFonts w:hint="default"/>
        </w:rPr>
      </w:pPr>
      <w:bookmarkStart w:id="23" w:name="_Toc83196150"/>
      <w:bookmarkStart w:id="24" w:name="_Toc83657888"/>
      <w:bookmarkStart w:id="25" w:name="_Toc83654346"/>
      <w:bookmarkStart w:id="26" w:name="_Toc83652635"/>
      <w:bookmarkStart w:id="27" w:name="_Toc6727"/>
      <w:bookmarkStart w:id="28" w:name="_Toc82878177"/>
      <w:bookmarkStart w:id="29" w:name="_Toc83657653"/>
      <w:r>
        <w:t>第四章  学位论文学术争议</w:t>
      </w:r>
      <w:bookmarkEnd w:id="23"/>
      <w:bookmarkEnd w:id="24"/>
      <w:bookmarkEnd w:id="25"/>
      <w:bookmarkEnd w:id="26"/>
      <w:bookmarkEnd w:id="27"/>
      <w:bookmarkEnd w:id="28"/>
      <w:bookmarkEnd w:id="29"/>
    </w:p>
    <w:p w14:paraId="6B0C50AD">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第三十一</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学位论文学术争议由当事人所在学院的学位评定分委员会负责调解与处理。</w:t>
      </w:r>
    </w:p>
    <w:p w14:paraId="527FDAE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第三十二</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学位申请人对专家评阅、答辩、成果认定等过程中相关学术组织或者人员作出的学术评价结论有异议的，可以向当事人所在学院申请学术复核。</w:t>
      </w:r>
    </w:p>
    <w:p w14:paraId="0DFCE87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第三十三</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学院学位评定分委员会的职责如下：</w:t>
      </w:r>
    </w:p>
    <w:p w14:paraId="3A6E16C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1．受理当事人学术争议的申请；</w:t>
      </w:r>
    </w:p>
    <w:p w14:paraId="2C6DE24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2．对争议事件提出具体处理意见、对争议双方进行调解；</w:t>
      </w:r>
    </w:p>
    <w:p w14:paraId="0E8ED141">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3．组织召开学院学位评定分委员会会议，听取双方对争议事件的陈述，对争议事件进行表决，做出争议事件处理决定，向研究生院提交表决结果与会议记录；</w:t>
      </w:r>
    </w:p>
    <w:p w14:paraId="17FE701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4．做出争议事件处理决定。</w:t>
      </w:r>
    </w:p>
    <w:p w14:paraId="171E4AF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第三十四</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学术争议处理程序</w:t>
      </w:r>
    </w:p>
    <w:p w14:paraId="002FADB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争议事件发生后，由当事人所在学院学位评定分委员会进行调解，调解不成功，由当事人提出书面学术争议申请，学院学位评定分委员会受理申请后，应启动学术争议处理程序。</w:t>
      </w:r>
    </w:p>
    <w:p w14:paraId="40273AB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1．由当事人在争议事件发生后十五日内向所在学院学位评定分委员会提出书面申请，并填写《北京工商大学硕士学位论文学术争议处理申请书》，逾期不再受理申请；</w:t>
      </w:r>
    </w:p>
    <w:p w14:paraId="3C04490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2．学院学位评定分委员会召开会议，对申请书进行审阅，对争议双方进行询问，对争议事件进行投票表决，形成决议；</w:t>
      </w:r>
    </w:p>
    <w:p w14:paraId="0B72BC3C">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学院学位评定分委员会自接到申请书后的十个工作日内做出处理结论并告知申请人。情况复杂，不能在规定期限内做出处理决定的，经学院学位评定分委员会主席批准，可以适当延长，并告知申请人，但延长期限最多不超过三十日；</w:t>
      </w:r>
    </w:p>
    <w:p w14:paraId="4BABF4BB">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4．研究生院依据学院学位评定分委员会的处理决定，签署意见，并上报学校学位评定委员会认定；</w:t>
      </w:r>
    </w:p>
    <w:p w14:paraId="1ED886D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5．学校学位评定委员会做出学术争议事件最终的处理决定。</w:t>
      </w:r>
    </w:p>
    <w:p w14:paraId="73B9EF4C">
      <w:pPr>
        <w:pStyle w:val="8"/>
        <w:rPr>
          <w:rFonts w:hint="default"/>
        </w:rPr>
      </w:pPr>
      <w:bookmarkStart w:id="30" w:name="_Toc83196151"/>
      <w:bookmarkStart w:id="31" w:name="_Toc83657889"/>
      <w:bookmarkStart w:id="32" w:name="_Toc83657654"/>
      <w:bookmarkStart w:id="33" w:name="_Toc83652636"/>
      <w:bookmarkStart w:id="34" w:name="_Toc83654347"/>
      <w:bookmarkStart w:id="35" w:name="_Toc12447"/>
      <w:bookmarkStart w:id="36" w:name="_Toc82878178"/>
      <w:r>
        <w:t>第五章  学位撤销</w:t>
      </w:r>
    </w:p>
    <w:p w14:paraId="3F1E26DA">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第三十五</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学位获得者在攻读该学位过程中有下列情形之一的，经学位评定委员会决议，可以撤销学位：</w:t>
      </w:r>
    </w:p>
    <w:p w14:paraId="02C556E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（一）学位论文或者实践成果被认定为存在代写、剽窃、伪造等学术不端行为；</w:t>
      </w:r>
    </w:p>
    <w:p w14:paraId="67A4CB3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（二）盗用、冒用他人身份，顶替他人取得的入学资格，或者以其他非法手段取得入学资格、毕业证书；</w:t>
      </w:r>
    </w:p>
    <w:p w14:paraId="3814E642">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（三）攻读期间存在依法不应当授予学位的其他严重违法行为。</w:t>
      </w:r>
    </w:p>
    <w:p w14:paraId="14D24453">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本款规定的学位申请人员为在读学生的，其所在学校或者学位授予单位可以给予开除学籍处分，为在职人员的，学位授予单位除给予纪律处分外，还应当通报其所在单位。</w:t>
      </w:r>
    </w:p>
    <w:p w14:paraId="6193EF87">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第三十六</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在做出撤销学位的决定之前，当事人应被告知可能出现的处理结果，并享有陈述和申辩的权利。</w:t>
      </w:r>
    </w:p>
    <w:p w14:paraId="035903E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第三十七</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撤销学位决定的文件应当由当事人所在培养单位直接送达当事人本人，由本人签收。拒绝签收或因特殊情况不能签收的、已离校的，可以采取邮寄、邮件方式送达，或通过学校网站、新闻媒体等以公告方式送达。</w:t>
      </w:r>
    </w:p>
    <w:p w14:paraId="08F7AA69">
      <w:pPr>
        <w:pStyle w:val="8"/>
        <w:rPr>
          <w:rFonts w:hint="default"/>
        </w:rPr>
      </w:pPr>
      <w:r>
        <w:t>第六章  其他</w:t>
      </w:r>
      <w:bookmarkEnd w:id="30"/>
      <w:bookmarkEnd w:id="31"/>
      <w:bookmarkEnd w:id="32"/>
      <w:bookmarkEnd w:id="33"/>
      <w:bookmarkEnd w:id="34"/>
      <w:bookmarkEnd w:id="35"/>
      <w:bookmarkEnd w:id="36"/>
    </w:p>
    <w:p w14:paraId="20512A6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第三十八</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对于研究生同他人合作完成的论文、著作或发明、发现等学术成果，其中确属研究生本人独立完成的部分，可以由本人整理为学位论文，并附送该项工作主持人签署的书面意见和共同发表论文、著作的其他作者的证明材料，以及合作完成的论文、著作原件等。</w:t>
      </w:r>
    </w:p>
    <w:p w14:paraId="64D57ED9">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第三十九</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除我校与境内外大学联合培养协定有具体规定之外，申请学位人员不得以同一篇学位论文向两个学位授予单位提出学位申请。</w:t>
      </w:r>
    </w:p>
    <w:p w14:paraId="6D703035">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第四十</w:t>
      </w:r>
      <w:r>
        <w:rPr>
          <w:rFonts w:hint="eastAsia" w:ascii="Times New Roman" w:hAnsi="Times New Roman" w:eastAsia="楷体" w:cs="Times New Roman"/>
          <w:b/>
          <w:bCs/>
          <w:kern w:val="0"/>
          <w:sz w:val="28"/>
          <w:szCs w:val="28"/>
          <w:shd w:val="clear" w:color="auto" w:fill="FFFFFF"/>
          <w:lang w:val="zh-CN"/>
        </w:rPr>
        <w:t>条</w:t>
      </w:r>
      <w:r>
        <w:rPr>
          <w:rFonts w:hint="eastAsia" w:ascii="Times New Roman" w:hAnsi="Times New Roman" w:eastAsia="楷体" w:cs="Times New Roman"/>
          <w:kern w:val="0"/>
          <w:sz w:val="28"/>
          <w:szCs w:val="28"/>
          <w:shd w:val="clear" w:color="auto" w:fill="FFFFFF"/>
          <w:lang w:val="zh-CN"/>
        </w:rPr>
        <w:t xml:space="preserve">  </w:t>
      </w:r>
      <w:r>
        <w:rPr>
          <w:rFonts w:ascii="Times New Roman" w:hAnsi="Times New Roman" w:eastAsia="楷体" w:cs="Times New Roman"/>
          <w:kern w:val="0"/>
          <w:sz w:val="28"/>
          <w:szCs w:val="28"/>
          <w:shd w:val="clear" w:color="auto" w:fill="FFFFFF"/>
          <w:lang w:val="zh-CN"/>
        </w:rPr>
        <w:t>同等学力人员向我校申请硕士学位，按上级有关文件规定办理，具体实施办法另行制定。</w:t>
      </w:r>
    </w:p>
    <w:p w14:paraId="03F6583E">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第四十一</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在我校学习的外国留学生和从事研究或教学工作的外国学者，可以向我校申请学位，对具有本办法规定的学术水平的，可授予相应的学位。</w:t>
      </w:r>
    </w:p>
    <w:p w14:paraId="1CA40716">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b/>
          <w:bCs/>
          <w:kern w:val="0"/>
          <w:sz w:val="28"/>
          <w:szCs w:val="28"/>
          <w:shd w:val="clear" w:color="auto" w:fill="FFFFFF"/>
          <w:lang w:val="zh-CN"/>
        </w:rPr>
        <w:t>第四十二</w:t>
      </w:r>
      <w:r>
        <w:rPr>
          <w:rFonts w:hint="eastAsia" w:ascii="Times New Roman" w:hAnsi="Times New Roman" w:eastAsia="楷体" w:cs="Times New Roman"/>
          <w:b/>
          <w:bCs/>
          <w:kern w:val="0"/>
          <w:sz w:val="28"/>
          <w:szCs w:val="28"/>
          <w:shd w:val="clear" w:color="auto" w:fill="FFFFFF"/>
          <w:lang w:val="zh-CN"/>
        </w:rPr>
        <w:t xml:space="preserve">条  </w:t>
      </w:r>
      <w:r>
        <w:rPr>
          <w:rFonts w:ascii="Times New Roman" w:hAnsi="Times New Roman" w:eastAsia="楷体" w:cs="Times New Roman"/>
          <w:kern w:val="0"/>
          <w:sz w:val="28"/>
          <w:szCs w:val="28"/>
          <w:shd w:val="clear" w:color="auto" w:fill="FFFFFF"/>
          <w:lang w:val="zh-CN"/>
        </w:rPr>
        <w:t>本办法由学校学位评定委员会负责解释，自发布之日起执行。同时废止《北京工商大学博士、硕士学位授予办法》北工商校发</w:t>
      </w:r>
      <w:r>
        <w:rPr>
          <w:rFonts w:hint="eastAsia" w:ascii="Times New Roman" w:hAnsi="Times New Roman" w:eastAsia="楷体" w:cs="Times New Roman"/>
          <w:kern w:val="0"/>
          <w:sz w:val="28"/>
          <w:szCs w:val="28"/>
          <w:shd w:val="clear" w:color="auto" w:fill="FFFFFF"/>
          <w:lang w:val="zh-CN"/>
        </w:rPr>
        <w:t>[2022]</w:t>
      </w:r>
      <w:r>
        <w:rPr>
          <w:rFonts w:ascii="Times New Roman" w:hAnsi="Times New Roman" w:eastAsia="楷体" w:cs="Times New Roman"/>
          <w:kern w:val="0"/>
          <w:sz w:val="28"/>
          <w:szCs w:val="28"/>
          <w:shd w:val="clear" w:color="auto" w:fill="FFFFFF"/>
          <w:lang w:val="zh-CN"/>
        </w:rPr>
        <w:t>23号文件。</w:t>
      </w:r>
    </w:p>
    <w:p w14:paraId="5BB0922F">
      <w:pPr>
        <w:autoSpaceDE w:val="0"/>
        <w:autoSpaceDN w:val="0"/>
        <w:adjustRightInd w:val="0"/>
        <w:spacing w:line="440" w:lineRule="exact"/>
        <w:ind w:right="140" w:firstLine="454"/>
        <w:textAlignment w:val="center"/>
        <w:rPr>
          <w:rFonts w:ascii="Times New Roman" w:hAnsi="Times New Roman" w:eastAsia="楷体" w:cs="Times New Roman"/>
          <w:kern w:val="0"/>
          <w:sz w:val="28"/>
          <w:szCs w:val="28"/>
          <w:shd w:val="clear" w:color="auto" w:fill="FFFFFF"/>
          <w:lang w:val="zh-CN"/>
        </w:rPr>
      </w:pPr>
    </w:p>
    <w:p w14:paraId="1FE501F3">
      <w:pPr>
        <w:autoSpaceDE w:val="0"/>
        <w:autoSpaceDN w:val="0"/>
        <w:adjustRightInd w:val="0"/>
        <w:spacing w:line="440" w:lineRule="exact"/>
        <w:ind w:right="140" w:firstLine="454"/>
        <w:jc w:val="right"/>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北京工商大学</w:t>
      </w:r>
    </w:p>
    <w:p w14:paraId="2F8877D5">
      <w:pPr>
        <w:pStyle w:val="6"/>
        <w:spacing w:line="440" w:lineRule="exact"/>
        <w:jc w:val="right"/>
        <w:rPr>
          <w:color w:val="auto"/>
        </w:rPr>
      </w:pPr>
      <w:r>
        <w:rPr>
          <w:rFonts w:ascii="Times New Roman" w:eastAsia="楷体" w:cs="Times New Roman"/>
          <w:color w:val="auto"/>
          <w:sz w:val="28"/>
          <w:szCs w:val="28"/>
          <w:shd w:val="clear" w:color="auto" w:fill="FFFFFF"/>
          <w:lang w:val="zh-CN"/>
        </w:rPr>
        <w:t>2018</w:t>
      </w:r>
      <w:r>
        <w:rPr>
          <w:rFonts w:hint="eastAsia" w:ascii="Times New Roman" w:eastAsia="楷体" w:cs="Times New Roman"/>
          <w:color w:val="auto"/>
          <w:sz w:val="28"/>
          <w:szCs w:val="28"/>
          <w:shd w:val="clear" w:color="auto" w:fill="FFFFFF"/>
          <w:lang w:val="zh-CN"/>
        </w:rPr>
        <w:t>年</w:t>
      </w:r>
      <w:r>
        <w:rPr>
          <w:rFonts w:ascii="Times New Roman" w:eastAsia="楷体" w:cs="Times New Roman"/>
          <w:color w:val="auto"/>
          <w:sz w:val="28"/>
          <w:szCs w:val="28"/>
          <w:shd w:val="clear" w:color="auto" w:fill="FFFFFF"/>
          <w:lang w:val="zh-CN"/>
        </w:rPr>
        <w:t>9</w:t>
      </w:r>
      <w:r>
        <w:rPr>
          <w:rFonts w:hint="eastAsia" w:ascii="Times New Roman" w:eastAsia="楷体" w:cs="Times New Roman"/>
          <w:color w:val="auto"/>
          <w:sz w:val="28"/>
          <w:szCs w:val="28"/>
          <w:shd w:val="clear" w:color="auto" w:fill="FFFFFF"/>
          <w:lang w:val="zh-CN"/>
        </w:rPr>
        <w:t>月制定</w:t>
      </w:r>
    </w:p>
    <w:p w14:paraId="2169F4D5">
      <w:pPr>
        <w:autoSpaceDE w:val="0"/>
        <w:autoSpaceDN w:val="0"/>
        <w:adjustRightInd w:val="0"/>
        <w:spacing w:line="440" w:lineRule="exact"/>
        <w:ind w:firstLine="454"/>
        <w:jc w:val="right"/>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202</w:t>
      </w:r>
      <w:r>
        <w:rPr>
          <w:rFonts w:hint="eastAsia" w:ascii="Times New Roman" w:hAnsi="Times New Roman" w:eastAsia="楷体" w:cs="Times New Roman"/>
          <w:kern w:val="0"/>
          <w:sz w:val="28"/>
          <w:szCs w:val="28"/>
          <w:shd w:val="clear" w:color="auto" w:fill="FFFFFF"/>
        </w:rPr>
        <w:t>4</w:t>
      </w:r>
      <w:r>
        <w:rPr>
          <w:rFonts w:hint="eastAsia" w:ascii="Times New Roman" w:hAnsi="Times New Roman" w:eastAsia="楷体" w:cs="Times New Roman"/>
          <w:kern w:val="0"/>
          <w:sz w:val="28"/>
          <w:szCs w:val="28"/>
          <w:shd w:val="clear" w:color="auto" w:fill="FFFFFF"/>
          <w:lang w:val="zh-CN"/>
        </w:rPr>
        <w:t>年</w:t>
      </w:r>
      <w:r>
        <w:rPr>
          <w:rFonts w:ascii="Times New Roman" w:hAnsi="Times New Roman" w:eastAsia="楷体" w:cs="Times New Roman"/>
          <w:kern w:val="0"/>
          <w:sz w:val="28"/>
          <w:szCs w:val="28"/>
          <w:shd w:val="clear" w:color="auto" w:fill="FFFFFF"/>
          <w:lang w:val="zh-CN"/>
        </w:rPr>
        <w:t>8</w:t>
      </w:r>
      <w:r>
        <w:rPr>
          <w:rFonts w:hint="eastAsia" w:ascii="Times New Roman" w:hAnsi="Times New Roman" w:eastAsia="楷体" w:cs="Times New Roman"/>
          <w:kern w:val="0"/>
          <w:sz w:val="28"/>
          <w:szCs w:val="28"/>
          <w:shd w:val="clear" w:color="auto" w:fill="FFFFFF"/>
          <w:lang w:val="zh-CN"/>
        </w:rPr>
        <w:t>月</w:t>
      </w:r>
      <w:r>
        <w:rPr>
          <w:rFonts w:hint="eastAsia" w:ascii="Times New Roman" w:hAnsi="Times New Roman" w:eastAsia="楷体" w:cs="Times New Roman"/>
          <w:kern w:val="0"/>
          <w:sz w:val="28"/>
          <w:szCs w:val="28"/>
          <w:shd w:val="clear" w:color="auto" w:fill="FFFFFF"/>
        </w:rPr>
        <w:t>第三次</w:t>
      </w:r>
      <w:r>
        <w:rPr>
          <w:rFonts w:hint="eastAsia" w:ascii="Times New Roman" w:hAnsi="Times New Roman" w:eastAsia="楷体" w:cs="Times New Roman"/>
          <w:kern w:val="0"/>
          <w:sz w:val="28"/>
          <w:szCs w:val="28"/>
          <w:shd w:val="clear" w:color="auto" w:fill="FFFFFF"/>
          <w:lang w:val="zh-CN"/>
        </w:rPr>
        <w:t>修订</w:t>
      </w:r>
    </w:p>
    <w:p w14:paraId="4603296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8C9"/>
    <w:rsid w:val="006208C9"/>
    <w:rsid w:val="00D1440F"/>
    <w:rsid w:val="667F4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link w:val="7"/>
    <w:unhideWhenUsed/>
    <w:qFormat/>
    <w:uiPriority w:val="0"/>
    <w:pPr>
      <w:keepNext/>
      <w:keepLines/>
      <w:suppressLineNumbers/>
      <w:autoSpaceDE w:val="0"/>
      <w:autoSpaceDN w:val="0"/>
      <w:spacing w:before="220" w:after="220" w:line="440" w:lineRule="exact"/>
      <w:jc w:val="center"/>
      <w:outlineLvl w:val="1"/>
    </w:pPr>
    <w:rPr>
      <w:rFonts w:ascii="Times New Roman" w:hAnsi="Times New Roman" w:eastAsia="黑体" w:cs="Times New Roman"/>
      <w:bCs/>
      <w:kern w:val="0"/>
      <w:sz w:val="32"/>
      <w:szCs w:val="28"/>
      <w:lang w:val="zh-CN"/>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5">
    <w:name w:val="标题 2 字符"/>
    <w:basedOn w:val="4"/>
    <w:semiHidden/>
    <w:qFormat/>
    <w:uiPriority w:val="9"/>
    <w:rPr>
      <w:rFonts w:asciiTheme="majorHAnsi" w:hAnsiTheme="majorHAnsi" w:eastAsiaTheme="majorEastAsia" w:cstheme="majorBidi"/>
      <w:b/>
      <w:bCs/>
      <w:sz w:val="32"/>
      <w:szCs w:val="32"/>
    </w:rPr>
  </w:style>
  <w:style w:type="paragraph" w:customStyle="1" w:styleId="6">
    <w:name w:val="Default"/>
    <w:qFormat/>
    <w:uiPriority w:val="99"/>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7">
    <w:name w:val="标题 2 字符1"/>
    <w:link w:val="2"/>
    <w:qFormat/>
    <w:uiPriority w:val="0"/>
    <w:rPr>
      <w:rFonts w:ascii="Times New Roman" w:hAnsi="Times New Roman" w:eastAsia="黑体" w:cs="Times New Roman"/>
      <w:bCs/>
      <w:kern w:val="0"/>
      <w:sz w:val="32"/>
      <w:szCs w:val="28"/>
      <w:lang w:val="zh-CN"/>
    </w:rPr>
  </w:style>
  <w:style w:type="paragraph" w:customStyle="1" w:styleId="8">
    <w:name w:val="章节目录"/>
    <w:basedOn w:val="1"/>
    <w:next w:val="1"/>
    <w:qFormat/>
    <w:uiPriority w:val="0"/>
    <w:pPr>
      <w:autoSpaceDE w:val="0"/>
      <w:autoSpaceDN w:val="0"/>
      <w:adjustRightInd w:val="0"/>
      <w:spacing w:line="440" w:lineRule="exact"/>
      <w:jc w:val="center"/>
    </w:pPr>
    <w:rPr>
      <w:rFonts w:hint="eastAsia" w:ascii="Times New Roman" w:hAnsi="Times New Roman" w:eastAsia="楷体" w:cs="Times New Roman"/>
      <w:b/>
      <w:bCs/>
      <w:kern w:val="0"/>
      <w:sz w:val="28"/>
      <w:szCs w:val="28"/>
      <w:shd w:val="clear" w:color="auto" w:fill="FFFFFF"/>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1399</Words>
  <Characters>1406</Characters>
  <Lines>78</Lines>
  <Paragraphs>22</Paragraphs>
  <TotalTime>2</TotalTime>
  <ScaleCrop>false</ScaleCrop>
  <LinksUpToDate>false</LinksUpToDate>
  <CharactersWithSpaces>1428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2026-10-23T13:42:00Z</dcterms:created>
  <dc:creator>wang</dc:creator>
  <cp:lastModifiedBy>B&amp;T</cp:lastModifiedBy>
  <dcterms:modified xsi:type="dcterms:W3CDTF">2026-10-28T03:40:02Z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0F22175998334EAABA6FA9D16D4FF3E1_13</vt:lpwstr>
  </property>
</Properties>
</file>